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56" w:rsidRDefault="00F8504F">
      <w:pPr>
        <w:pStyle w:val="Default"/>
        <w:snapToGrid w:val="0"/>
        <w:spacing w:line="600" w:lineRule="exact"/>
        <w:jc w:val="center"/>
        <w:rPr>
          <w:rFonts w:hAnsi="黑体"/>
          <w:sz w:val="44"/>
          <w:szCs w:val="44"/>
        </w:rPr>
      </w:pPr>
      <w:r>
        <w:rPr>
          <w:rFonts w:ascii="方正小标宋简体" w:eastAsia="方正小标宋简体" w:hAnsi="方正小标宋简体" w:cs="方正小标宋简体" w:hint="eastAsia"/>
          <w:sz w:val="44"/>
          <w:szCs w:val="44"/>
        </w:rPr>
        <w:t>2020年度</w:t>
      </w:r>
      <w:r>
        <w:rPr>
          <w:rStyle w:val="NormalCharacter"/>
          <w:rFonts w:ascii="方正小标宋简体" w:eastAsia="方正小标宋简体" w:hAnsi="方正小标宋简体" w:cs="方正小标宋简体" w:hint="eastAsia"/>
          <w:bCs/>
          <w:sz w:val="44"/>
          <w:szCs w:val="44"/>
        </w:rPr>
        <w:t>州库区移民事务中心</w:t>
      </w:r>
      <w:r>
        <w:rPr>
          <w:rFonts w:ascii="方正小标宋简体" w:eastAsia="方正小标宋简体" w:hAnsi="方正小标宋简体" w:cs="方正小标宋简体" w:hint="eastAsia"/>
          <w:sz w:val="44"/>
          <w:szCs w:val="44"/>
        </w:rPr>
        <w:t>部门决算</w:t>
      </w:r>
    </w:p>
    <w:p w:rsidR="00740256" w:rsidRDefault="00740256">
      <w:pPr>
        <w:pStyle w:val="Default"/>
        <w:jc w:val="center"/>
        <w:rPr>
          <w:sz w:val="52"/>
          <w:szCs w:val="52"/>
        </w:rPr>
      </w:pPr>
    </w:p>
    <w:p w:rsidR="00740256" w:rsidRDefault="00F8504F">
      <w:pPr>
        <w:pStyle w:val="Default"/>
        <w:spacing w:line="500" w:lineRule="exact"/>
        <w:jc w:val="center"/>
        <w:rPr>
          <w:bCs/>
          <w:sz w:val="44"/>
          <w:szCs w:val="36"/>
        </w:rPr>
      </w:pPr>
      <w:r>
        <w:rPr>
          <w:rFonts w:hint="eastAsia"/>
          <w:bCs/>
          <w:sz w:val="44"/>
          <w:szCs w:val="36"/>
        </w:rPr>
        <w:t>目录</w:t>
      </w:r>
    </w:p>
    <w:p w:rsidR="00740256" w:rsidRDefault="00740256">
      <w:pPr>
        <w:pStyle w:val="Default"/>
        <w:snapToGrid w:val="0"/>
        <w:spacing w:line="470" w:lineRule="exact"/>
        <w:jc w:val="center"/>
        <w:rPr>
          <w:b/>
          <w:sz w:val="36"/>
          <w:szCs w:val="28"/>
        </w:rPr>
      </w:pPr>
    </w:p>
    <w:p w:rsidR="00740256" w:rsidRDefault="00F8504F">
      <w:pPr>
        <w:pStyle w:val="Default"/>
        <w:snapToGrid w:val="0"/>
        <w:spacing w:line="60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第一部分</w:t>
      </w:r>
      <w:r>
        <w:rPr>
          <w:rStyle w:val="NormalCharacter"/>
          <w:rFonts w:ascii="楷体_GB2312" w:eastAsia="楷体_GB2312" w:hAnsi="楷体_GB2312" w:cs="楷体_GB2312" w:hint="eastAsia"/>
          <w:b/>
          <w:sz w:val="32"/>
          <w:szCs w:val="32"/>
        </w:rPr>
        <w:t>州库区移民事务中心</w:t>
      </w:r>
      <w:r>
        <w:rPr>
          <w:rFonts w:ascii="楷体_GB2312" w:eastAsia="楷体_GB2312" w:hAnsi="楷体_GB2312" w:cs="楷体_GB2312" w:hint="eastAsia"/>
          <w:b/>
          <w:sz w:val="32"/>
          <w:szCs w:val="32"/>
        </w:rPr>
        <w:t>概况</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一、部门职责</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740256" w:rsidRDefault="00F8504F">
      <w:pPr>
        <w:pStyle w:val="Default"/>
        <w:snapToGrid w:val="0"/>
        <w:spacing w:line="600" w:lineRule="exact"/>
        <w:rPr>
          <w:rFonts w:ascii="Times New Roman" w:eastAsia="楷体_GB2312" w:hAnsi="Times New Roman" w:cs="Times New Roman"/>
          <w:b/>
          <w:sz w:val="32"/>
          <w:szCs w:val="32"/>
        </w:rPr>
      </w:pPr>
      <w:r>
        <w:rPr>
          <w:rFonts w:ascii="Times New Roman" w:eastAsia="楷体_GB2312" w:hAnsi="Times New Roman" w:cs="Times New Roman"/>
          <w:b/>
          <w:sz w:val="32"/>
          <w:szCs w:val="32"/>
        </w:rPr>
        <w:t>第二部分</w:t>
      </w:r>
      <w:r>
        <w:rPr>
          <w:rFonts w:ascii="Times New Roman" w:eastAsia="楷体_GB2312" w:hAnsi="Times New Roman" w:cs="Times New Roman"/>
          <w:b/>
          <w:sz w:val="32"/>
          <w:szCs w:val="32"/>
        </w:rPr>
        <w:t>2020</w:t>
      </w:r>
      <w:r>
        <w:rPr>
          <w:rFonts w:ascii="Times New Roman" w:eastAsia="楷体_GB2312" w:hAnsi="Times New Roman" w:cs="Times New Roman"/>
          <w:b/>
          <w:sz w:val="32"/>
          <w:szCs w:val="32"/>
        </w:rPr>
        <w:t>年度部门决算表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七、一般公共预算财政拨款“三公”经费支出决算表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九、国有资本经营预算财政拨款支出决算表</w:t>
      </w:r>
    </w:p>
    <w:p w:rsidR="00740256" w:rsidRDefault="00F8504F">
      <w:pPr>
        <w:pStyle w:val="Default"/>
        <w:snapToGrid w:val="0"/>
        <w:spacing w:line="600" w:lineRule="exact"/>
        <w:rPr>
          <w:rFonts w:ascii="Times New Roman" w:eastAsia="楷体_GB2312" w:hAnsi="Times New Roman" w:cs="Times New Roman"/>
          <w:b/>
          <w:sz w:val="32"/>
          <w:szCs w:val="32"/>
        </w:rPr>
      </w:pPr>
      <w:r>
        <w:rPr>
          <w:rFonts w:ascii="Times New Roman" w:eastAsia="楷体_GB2312" w:hAnsi="Times New Roman" w:cs="Times New Roman"/>
          <w:b/>
          <w:sz w:val="32"/>
          <w:szCs w:val="32"/>
        </w:rPr>
        <w:t>第三部分</w:t>
      </w:r>
      <w:r>
        <w:rPr>
          <w:rFonts w:ascii="Times New Roman" w:eastAsia="楷体_GB2312" w:hAnsi="Times New Roman" w:cs="Times New Roman"/>
          <w:b/>
          <w:sz w:val="32"/>
          <w:szCs w:val="32"/>
        </w:rPr>
        <w:t>2020</w:t>
      </w:r>
      <w:r>
        <w:rPr>
          <w:rFonts w:ascii="Times New Roman" w:eastAsia="楷体_GB2312" w:hAnsi="Times New Roman" w:cs="Times New Roman"/>
          <w:b/>
          <w:sz w:val="32"/>
          <w:szCs w:val="32"/>
        </w:rPr>
        <w:t>年度部门决算情况说明</w:t>
      </w:r>
    </w:p>
    <w:p w:rsidR="00740256" w:rsidRDefault="00F8504F">
      <w:pPr>
        <w:pStyle w:val="Default"/>
        <w:snapToGrid w:val="0"/>
        <w:spacing w:line="6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一、收入支出决算总体情况说明</w:t>
      </w:r>
    </w:p>
    <w:p w:rsidR="00740256" w:rsidRDefault="00F8504F">
      <w:pPr>
        <w:adjustRightInd w:val="0"/>
        <w:snapToGrid w:val="0"/>
        <w:spacing w:line="600" w:lineRule="exact"/>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二、收入决算情况说明</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三、支出决算情况说明</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四、财政拨款收入支出决算总体情况说明</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五、一般公共预算财政拨款支出决算情况说明</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六、一般公共预算财政拨款基本支出决算情况说明</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七、一般公共预算财政拨款三</w:t>
      </w:r>
      <w:proofErr w:type="gramStart"/>
      <w:r>
        <w:rPr>
          <w:rFonts w:ascii="仿宋_GB2312" w:eastAsia="仿宋_GB2312" w:hAnsi="仿宋_GB2312" w:cs="仿宋_GB2312" w:hint="eastAsia"/>
          <w:color w:val="000000"/>
          <w:kern w:val="0"/>
          <w:sz w:val="32"/>
          <w:szCs w:val="32"/>
        </w:rPr>
        <w:t>公经费</w:t>
      </w:r>
      <w:proofErr w:type="gramEnd"/>
      <w:r>
        <w:rPr>
          <w:rFonts w:ascii="仿宋_GB2312" w:eastAsia="仿宋_GB2312" w:hAnsi="仿宋_GB2312" w:cs="仿宋_GB2312" w:hint="eastAsia"/>
          <w:color w:val="000000"/>
          <w:kern w:val="0"/>
          <w:sz w:val="32"/>
          <w:szCs w:val="32"/>
        </w:rPr>
        <w:t>支出决算情况说明</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八、政府性基金预算收入支出决算情况</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w:t>
      </w:r>
      <w:r>
        <w:rPr>
          <w:rFonts w:ascii="仿宋_GB2312" w:eastAsia="仿宋_GB2312" w:hAnsi="仿宋_GB2312" w:cs="仿宋_GB2312" w:hint="eastAsia"/>
          <w:sz w:val="32"/>
          <w:szCs w:val="32"/>
        </w:rPr>
        <w:t>国有资本经营预算支出决算情况</w:t>
      </w:r>
    </w:p>
    <w:p w:rsidR="00740256" w:rsidRDefault="00F8504F">
      <w:pPr>
        <w:autoSpaceDE w:val="0"/>
        <w:autoSpaceDN w:val="0"/>
        <w:adjustRightInd w:val="0"/>
        <w:snapToGrid w:val="0"/>
        <w:spacing w:line="600" w:lineRule="exact"/>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十、</w:t>
      </w:r>
      <w:r>
        <w:rPr>
          <w:rFonts w:ascii="仿宋_GB2312" w:eastAsia="仿宋_GB2312" w:hAnsi="仿宋_GB2312" w:cs="仿宋_GB2312" w:hint="eastAsia"/>
          <w:sz w:val="32"/>
          <w:szCs w:val="32"/>
        </w:rPr>
        <w:t>关于</w:t>
      </w:r>
      <w:r>
        <w:rPr>
          <w:rFonts w:ascii="Times New Roman" w:eastAsia="仿宋_GB2312" w:hAnsi="Times New Roman" w:cs="Times New Roman"/>
          <w:sz w:val="32"/>
          <w:szCs w:val="32"/>
        </w:rPr>
        <w:t>2020</w:t>
      </w:r>
      <w:r>
        <w:rPr>
          <w:rFonts w:ascii="仿宋_GB2312" w:eastAsia="仿宋_GB2312" w:hAnsi="仿宋_GB2312" w:cs="仿宋_GB2312" w:hint="eastAsia"/>
          <w:sz w:val="32"/>
          <w:szCs w:val="32"/>
        </w:rPr>
        <w:t>年度预算绩效情况的说明</w:t>
      </w:r>
    </w:p>
    <w:p w:rsidR="00740256" w:rsidRDefault="00F8504F">
      <w:pPr>
        <w:pStyle w:val="Default"/>
        <w:snapToGrid w:val="0"/>
        <w:spacing w:line="600" w:lineRule="exact"/>
        <w:ind w:firstLineChars="250" w:firstLine="800"/>
        <w:rPr>
          <w:rFonts w:asciiTheme="minorEastAsia" w:eastAsiaTheme="minorEastAsia" w:hAnsiTheme="minorEastAsia" w:cstheme="minorEastAsia"/>
          <w:sz w:val="32"/>
          <w:szCs w:val="32"/>
        </w:rPr>
      </w:pPr>
      <w:r>
        <w:rPr>
          <w:rFonts w:ascii="仿宋" w:eastAsia="仿宋" w:hAnsi="仿宋" w:cstheme="minorEastAsia" w:hint="eastAsia"/>
          <w:sz w:val="32"/>
          <w:szCs w:val="32"/>
        </w:rPr>
        <w:lastRenderedPageBreak/>
        <w:t>十一、其他重要事项情况说明</w:t>
      </w:r>
    </w:p>
    <w:p w:rsidR="00740256" w:rsidRDefault="00F8504F">
      <w:pPr>
        <w:autoSpaceDE w:val="0"/>
        <w:autoSpaceDN w:val="0"/>
        <w:adjustRightInd w:val="0"/>
        <w:snapToGrid w:val="0"/>
        <w:spacing w:line="600" w:lineRule="exact"/>
        <w:jc w:val="left"/>
        <w:rPr>
          <w:rFonts w:ascii="黑体" w:eastAsia="黑体" w:hAnsi="黑体" w:cs="黑体"/>
          <w:bCs/>
          <w:color w:val="000000"/>
          <w:kern w:val="0"/>
          <w:sz w:val="32"/>
          <w:szCs w:val="32"/>
        </w:rPr>
      </w:pPr>
      <w:r>
        <w:rPr>
          <w:rFonts w:ascii="楷体_GB2312" w:eastAsia="楷体_GB2312" w:hAnsi="楷体_GB2312" w:cs="楷体_GB2312" w:hint="eastAsia"/>
          <w:b/>
          <w:color w:val="000000"/>
          <w:kern w:val="0"/>
          <w:sz w:val="32"/>
          <w:szCs w:val="32"/>
        </w:rPr>
        <w:t>第四部分名词解释</w:t>
      </w:r>
    </w:p>
    <w:p w:rsidR="00740256" w:rsidRDefault="00F8504F">
      <w:pPr>
        <w:autoSpaceDE w:val="0"/>
        <w:autoSpaceDN w:val="0"/>
        <w:adjustRightInd w:val="0"/>
        <w:snapToGrid w:val="0"/>
        <w:spacing w:line="600" w:lineRule="exact"/>
        <w:jc w:val="left"/>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kern w:val="0"/>
          <w:sz w:val="32"/>
          <w:szCs w:val="32"/>
        </w:rPr>
        <w:t>第五部分附件</w:t>
      </w:r>
    </w:p>
    <w:p w:rsidR="00002BCE" w:rsidRDefault="00002BCE">
      <w:pPr>
        <w:pStyle w:val="UserStyle0"/>
        <w:jc w:val="center"/>
        <w:rPr>
          <w:rStyle w:val="NormalCharacter"/>
          <w:rFonts w:hAnsi="黑体" w:cs="黑体"/>
          <w:bCs/>
          <w:sz w:val="44"/>
          <w:szCs w:val="44"/>
        </w:rPr>
      </w:pPr>
    </w:p>
    <w:p w:rsidR="00002BCE" w:rsidRDefault="00002BCE">
      <w:pPr>
        <w:pStyle w:val="UserStyle0"/>
        <w:jc w:val="center"/>
        <w:rPr>
          <w:rStyle w:val="NormalCharacter"/>
          <w:rFonts w:hAnsi="黑体" w:cs="黑体"/>
          <w:bCs/>
          <w:sz w:val="44"/>
          <w:szCs w:val="44"/>
        </w:rPr>
      </w:pPr>
    </w:p>
    <w:p w:rsidR="00740256" w:rsidRDefault="00F8504F">
      <w:pPr>
        <w:pStyle w:val="UserStyle0"/>
        <w:jc w:val="center"/>
        <w:rPr>
          <w:rStyle w:val="NormalCharacter"/>
          <w:rFonts w:hAnsi="黑体" w:cs="黑体"/>
          <w:bCs/>
          <w:sz w:val="44"/>
          <w:szCs w:val="44"/>
        </w:rPr>
      </w:pPr>
      <w:r>
        <w:rPr>
          <w:rStyle w:val="NormalCharacter"/>
          <w:rFonts w:hAnsi="黑体" w:cs="黑体" w:hint="eastAsia"/>
          <w:bCs/>
          <w:sz w:val="44"/>
          <w:szCs w:val="44"/>
        </w:rPr>
        <w:t>第一部分 州库区移民事务中心概况</w:t>
      </w:r>
    </w:p>
    <w:p w:rsidR="00740256" w:rsidRDefault="00740256">
      <w:pPr>
        <w:pStyle w:val="UserStyle1"/>
        <w:adjustRightInd w:val="0"/>
        <w:snapToGrid w:val="0"/>
        <w:spacing w:line="400" w:lineRule="exact"/>
        <w:ind w:firstLine="640"/>
        <w:jc w:val="left"/>
        <w:rPr>
          <w:rStyle w:val="NormalCharacter"/>
          <w:rFonts w:ascii="黑体" w:eastAsia="黑体" w:hAnsi="黑体" w:cs="黑体"/>
          <w:bCs/>
          <w:color w:val="000000"/>
          <w:sz w:val="32"/>
          <w:szCs w:val="32"/>
        </w:rPr>
      </w:pPr>
    </w:p>
    <w:p w:rsidR="00740256" w:rsidRDefault="00F8504F">
      <w:pPr>
        <w:pStyle w:val="UserStyle1"/>
        <w:adjustRightInd w:val="0"/>
        <w:snapToGrid w:val="0"/>
        <w:spacing w:line="600" w:lineRule="exact"/>
        <w:ind w:firstLine="640"/>
        <w:jc w:val="left"/>
        <w:rPr>
          <w:rStyle w:val="NormalCharacter"/>
          <w:rFonts w:ascii="黑体" w:eastAsia="黑体" w:hAnsi="黑体" w:cs="黑体"/>
          <w:bCs/>
          <w:color w:val="000000"/>
          <w:sz w:val="32"/>
          <w:szCs w:val="32"/>
        </w:rPr>
      </w:pPr>
      <w:r>
        <w:rPr>
          <w:rStyle w:val="NormalCharacter"/>
          <w:rFonts w:ascii="黑体" w:eastAsia="黑体" w:hAnsi="黑体" w:cs="黑体" w:hint="eastAsia"/>
          <w:bCs/>
          <w:color w:val="000000"/>
          <w:sz w:val="32"/>
          <w:szCs w:val="32"/>
        </w:rPr>
        <w:t>一、部门职责</w:t>
      </w:r>
    </w:p>
    <w:p w:rsidR="00740256" w:rsidRDefault="00F8504F">
      <w:pPr>
        <w:spacing w:line="520" w:lineRule="exact"/>
        <w:ind w:firstLineChars="200" w:firstLine="640"/>
        <w:rPr>
          <w:rStyle w:val="NormalCharacter"/>
          <w:rFonts w:ascii="Times New Roman" w:eastAsia="仿宋_GB2312" w:hAnsi="Times New Roman" w:cs="Times New Roman"/>
          <w:color w:val="000000"/>
          <w:kern w:val="0"/>
          <w:sz w:val="32"/>
          <w:szCs w:val="32"/>
        </w:rPr>
      </w:pPr>
      <w:r>
        <w:rPr>
          <w:rStyle w:val="NormalCharacter"/>
          <w:rFonts w:ascii="Times New Roman" w:eastAsia="仿宋_GB2312" w:hAnsi="Times New Roman" w:cs="Times New Roman"/>
          <w:color w:val="000000"/>
          <w:sz w:val="32"/>
          <w:szCs w:val="32"/>
        </w:rPr>
        <w:t>（一）</w:t>
      </w:r>
      <w:r>
        <w:rPr>
          <w:rStyle w:val="NormalCharacter"/>
          <w:rFonts w:ascii="Times New Roman" w:eastAsia="仿宋_GB2312" w:hAnsi="Times New Roman" w:cs="Times New Roman"/>
          <w:color w:val="000000"/>
          <w:kern w:val="0"/>
          <w:sz w:val="32"/>
          <w:szCs w:val="32"/>
        </w:rPr>
        <w:t>贯彻执行党和国家的移民工作方针、政策和法律法规；研究制定全州移民工作政策，经批准后组织实施。</w:t>
      </w:r>
    </w:p>
    <w:p w:rsidR="00740256" w:rsidRDefault="00F8504F">
      <w:pPr>
        <w:spacing w:line="520" w:lineRule="exact"/>
        <w:ind w:firstLineChars="200" w:firstLine="640"/>
        <w:rPr>
          <w:rStyle w:val="NormalCharacter"/>
          <w:rFonts w:ascii="Times New Roman" w:eastAsia="仿宋_GB2312" w:hAnsi="Times New Roman" w:cs="Times New Roman"/>
          <w:color w:val="000000"/>
          <w:kern w:val="0"/>
          <w:sz w:val="32"/>
          <w:szCs w:val="32"/>
        </w:rPr>
      </w:pPr>
      <w:r>
        <w:rPr>
          <w:rStyle w:val="NormalCharacter"/>
          <w:rFonts w:ascii="Times New Roman" w:eastAsia="仿宋_GB2312" w:hAnsi="Times New Roman" w:cs="Times New Roman"/>
          <w:color w:val="000000"/>
          <w:kern w:val="0"/>
          <w:sz w:val="32"/>
          <w:szCs w:val="32"/>
        </w:rPr>
        <w:t>（二）探索开发性移民管理的新机制，总结推广典型经验，做好移民生产、开发与管理工作。</w:t>
      </w:r>
    </w:p>
    <w:p w:rsidR="00740256" w:rsidRDefault="00F8504F">
      <w:pPr>
        <w:spacing w:line="520" w:lineRule="exact"/>
        <w:ind w:firstLineChars="200" w:firstLine="640"/>
        <w:rPr>
          <w:rStyle w:val="NormalCharacter"/>
          <w:rFonts w:ascii="Times New Roman" w:eastAsia="仿宋_GB2312" w:hAnsi="Times New Roman" w:cs="Times New Roman"/>
          <w:color w:val="000000"/>
          <w:kern w:val="0"/>
          <w:sz w:val="32"/>
          <w:szCs w:val="32"/>
        </w:rPr>
      </w:pPr>
      <w:r>
        <w:rPr>
          <w:rStyle w:val="NormalCharacter"/>
          <w:rFonts w:ascii="Times New Roman" w:eastAsia="仿宋_GB2312" w:hAnsi="Times New Roman" w:cs="Times New Roman"/>
          <w:color w:val="000000"/>
          <w:kern w:val="0"/>
          <w:sz w:val="32"/>
          <w:szCs w:val="32"/>
        </w:rPr>
        <w:t>（三）综合编制移民安置规划、库区和移民安置区基础设施和经济社会发展规划，编制后扶年度工作计划，落实</w:t>
      </w:r>
      <w:proofErr w:type="gramStart"/>
      <w:r>
        <w:rPr>
          <w:rStyle w:val="NormalCharacter"/>
          <w:rFonts w:ascii="Times New Roman" w:eastAsia="仿宋_GB2312" w:hAnsi="Times New Roman" w:cs="Times New Roman"/>
          <w:color w:val="000000"/>
          <w:kern w:val="0"/>
          <w:sz w:val="32"/>
          <w:szCs w:val="32"/>
        </w:rPr>
        <w:t>移民直补和</w:t>
      </w:r>
      <w:proofErr w:type="gramEnd"/>
      <w:r>
        <w:rPr>
          <w:rStyle w:val="NormalCharacter"/>
          <w:rFonts w:ascii="Times New Roman" w:eastAsia="仿宋_GB2312" w:hAnsi="Times New Roman" w:cs="Times New Roman"/>
          <w:color w:val="000000"/>
          <w:kern w:val="0"/>
          <w:sz w:val="32"/>
          <w:szCs w:val="32"/>
        </w:rPr>
        <w:t>项目扶持资金，督查移民工程开发项目实施。</w:t>
      </w:r>
    </w:p>
    <w:p w:rsidR="00740256" w:rsidRDefault="00F8504F">
      <w:pPr>
        <w:spacing w:line="520" w:lineRule="exact"/>
        <w:ind w:firstLineChars="200" w:firstLine="640"/>
        <w:rPr>
          <w:rStyle w:val="NormalCharacter"/>
          <w:rFonts w:ascii="Times New Roman" w:eastAsia="仿宋_GB2312" w:hAnsi="Times New Roman" w:cs="Times New Roman"/>
          <w:color w:val="000000"/>
          <w:kern w:val="0"/>
          <w:sz w:val="32"/>
          <w:szCs w:val="32"/>
        </w:rPr>
      </w:pPr>
      <w:r>
        <w:rPr>
          <w:rStyle w:val="NormalCharacter"/>
          <w:rFonts w:ascii="Times New Roman" w:eastAsia="仿宋_GB2312" w:hAnsi="Times New Roman" w:cs="Times New Roman"/>
          <w:color w:val="000000"/>
          <w:kern w:val="0"/>
          <w:sz w:val="32"/>
          <w:szCs w:val="32"/>
        </w:rPr>
        <w:t>（四）负责移民扶助金拨付与管理。</w:t>
      </w:r>
    </w:p>
    <w:p w:rsidR="00740256" w:rsidRDefault="00F8504F">
      <w:pPr>
        <w:spacing w:line="520" w:lineRule="exact"/>
        <w:ind w:firstLineChars="200" w:firstLine="640"/>
        <w:rPr>
          <w:rStyle w:val="NormalCharacter"/>
          <w:rFonts w:ascii="Times New Roman" w:eastAsia="仿宋_GB2312" w:hAnsi="Times New Roman" w:cs="Times New Roman"/>
          <w:color w:val="000000"/>
          <w:kern w:val="0"/>
          <w:sz w:val="32"/>
          <w:szCs w:val="32"/>
        </w:rPr>
      </w:pPr>
      <w:r>
        <w:rPr>
          <w:rStyle w:val="NormalCharacter"/>
          <w:rFonts w:ascii="Times New Roman" w:eastAsia="仿宋_GB2312" w:hAnsi="Times New Roman" w:cs="Times New Roman"/>
          <w:color w:val="000000"/>
          <w:kern w:val="0"/>
          <w:sz w:val="32"/>
          <w:szCs w:val="32"/>
        </w:rPr>
        <w:t>（五）负责全州移民信访接待工作，指导、协调县市做好库区、移民安置区的社会稳定工作。</w:t>
      </w:r>
    </w:p>
    <w:p w:rsidR="00740256" w:rsidRDefault="00F8504F">
      <w:pPr>
        <w:spacing w:line="520" w:lineRule="exact"/>
        <w:ind w:firstLineChars="200" w:firstLine="640"/>
        <w:rPr>
          <w:rStyle w:val="NormalCharacter"/>
          <w:rFonts w:ascii="Times New Roman" w:eastAsia="仿宋_GB2312" w:hAnsi="Times New Roman" w:cs="Times New Roman"/>
          <w:color w:val="000000"/>
          <w:kern w:val="0"/>
          <w:sz w:val="32"/>
          <w:szCs w:val="32"/>
        </w:rPr>
      </w:pPr>
      <w:r>
        <w:rPr>
          <w:rStyle w:val="NormalCharacter"/>
          <w:rFonts w:ascii="Times New Roman" w:eastAsia="仿宋_GB2312" w:hAnsi="Times New Roman" w:cs="Times New Roman"/>
          <w:color w:val="000000"/>
          <w:kern w:val="0"/>
          <w:sz w:val="32"/>
          <w:szCs w:val="32"/>
        </w:rPr>
        <w:t>（六）指导全州移民干部和移民区基层骨干以及移民实用技术和职业技能的培训工作。</w:t>
      </w:r>
    </w:p>
    <w:p w:rsidR="00740256" w:rsidRDefault="00F8504F">
      <w:pPr>
        <w:spacing w:line="520" w:lineRule="exact"/>
        <w:ind w:firstLineChars="200" w:firstLine="640"/>
        <w:rPr>
          <w:rStyle w:val="NormalCharacter"/>
          <w:rFonts w:ascii="Times New Roman" w:eastAsia="仿宋_GB2312" w:hAnsi="Times New Roman" w:cs="Times New Roman"/>
          <w:color w:val="000000"/>
          <w:kern w:val="0"/>
          <w:sz w:val="32"/>
          <w:szCs w:val="32"/>
        </w:rPr>
      </w:pPr>
      <w:r>
        <w:rPr>
          <w:rStyle w:val="NormalCharacter"/>
          <w:rFonts w:ascii="Times New Roman" w:eastAsia="仿宋_GB2312" w:hAnsi="Times New Roman" w:cs="Times New Roman"/>
          <w:color w:val="000000"/>
          <w:kern w:val="0"/>
          <w:sz w:val="32"/>
          <w:szCs w:val="32"/>
        </w:rPr>
        <w:lastRenderedPageBreak/>
        <w:t>（七）</w:t>
      </w:r>
      <w:proofErr w:type="gramStart"/>
      <w:r>
        <w:rPr>
          <w:rStyle w:val="NormalCharacter"/>
          <w:rFonts w:ascii="Times New Roman" w:eastAsia="仿宋_GB2312" w:hAnsi="Times New Roman" w:cs="Times New Roman"/>
          <w:color w:val="000000"/>
          <w:kern w:val="0"/>
          <w:sz w:val="32"/>
          <w:szCs w:val="32"/>
        </w:rPr>
        <w:t>负责州直有关</w:t>
      </w:r>
      <w:proofErr w:type="gramEnd"/>
      <w:r>
        <w:rPr>
          <w:rStyle w:val="NormalCharacter"/>
          <w:rFonts w:ascii="Times New Roman" w:eastAsia="仿宋_GB2312" w:hAnsi="Times New Roman" w:cs="Times New Roman"/>
          <w:color w:val="000000"/>
          <w:kern w:val="0"/>
          <w:sz w:val="32"/>
          <w:szCs w:val="32"/>
        </w:rPr>
        <w:t>部门和各县市有关移民工作的协调与管理；</w:t>
      </w:r>
      <w:proofErr w:type="gramStart"/>
      <w:r>
        <w:rPr>
          <w:rStyle w:val="NormalCharacter"/>
          <w:rFonts w:ascii="Times New Roman" w:eastAsia="仿宋_GB2312" w:hAnsi="Times New Roman" w:cs="Times New Roman"/>
          <w:color w:val="000000"/>
          <w:kern w:val="0"/>
          <w:sz w:val="32"/>
          <w:szCs w:val="32"/>
        </w:rPr>
        <w:t>会同州直有关</w:t>
      </w:r>
      <w:proofErr w:type="gramEnd"/>
      <w:r>
        <w:rPr>
          <w:rStyle w:val="NormalCharacter"/>
          <w:rFonts w:ascii="Times New Roman" w:eastAsia="仿宋_GB2312" w:hAnsi="Times New Roman" w:cs="Times New Roman"/>
          <w:color w:val="000000"/>
          <w:kern w:val="0"/>
          <w:sz w:val="32"/>
          <w:szCs w:val="32"/>
        </w:rPr>
        <w:t>部门做好移民对口帮扶工作。</w:t>
      </w:r>
    </w:p>
    <w:p w:rsidR="00740256" w:rsidRDefault="00F8504F">
      <w:pPr>
        <w:spacing w:line="520" w:lineRule="exact"/>
        <w:ind w:firstLineChars="200" w:firstLine="640"/>
        <w:rPr>
          <w:rStyle w:val="NormalCharacter"/>
          <w:rFonts w:ascii="Times New Roman" w:eastAsia="仿宋_GB2312" w:hAnsi="Times New Roman" w:cs="Times New Roman"/>
          <w:color w:val="000000"/>
          <w:sz w:val="32"/>
          <w:szCs w:val="32"/>
        </w:rPr>
      </w:pPr>
      <w:r>
        <w:rPr>
          <w:rStyle w:val="NormalCharacter"/>
          <w:rFonts w:ascii="Times New Roman" w:eastAsia="仿宋_GB2312" w:hAnsi="Times New Roman" w:cs="Times New Roman"/>
          <w:color w:val="000000"/>
          <w:kern w:val="0"/>
          <w:sz w:val="32"/>
          <w:szCs w:val="32"/>
        </w:rPr>
        <w:t>（八）承办州委、州人民政府和州农委交办的其他事项。</w:t>
      </w:r>
    </w:p>
    <w:p w:rsidR="00740256" w:rsidRDefault="00F8504F">
      <w:pPr>
        <w:spacing w:line="600" w:lineRule="exact"/>
        <w:ind w:firstLineChars="200" w:firstLine="640"/>
        <w:rPr>
          <w:rStyle w:val="NormalCharacter"/>
          <w:rFonts w:ascii="黑体" w:eastAsia="黑体" w:hAnsi="黑体" w:cs="黑体"/>
          <w:color w:val="000000"/>
          <w:kern w:val="0"/>
          <w:sz w:val="32"/>
          <w:szCs w:val="32"/>
        </w:rPr>
      </w:pPr>
      <w:r>
        <w:rPr>
          <w:rStyle w:val="NormalCharacter"/>
          <w:rFonts w:ascii="黑体" w:eastAsia="黑体" w:hAnsi="黑体" w:cs="黑体" w:hint="eastAsia"/>
          <w:color w:val="000000"/>
          <w:kern w:val="0"/>
          <w:sz w:val="32"/>
          <w:szCs w:val="32"/>
        </w:rPr>
        <w:t>二、机构设置及决算单位构成</w:t>
      </w:r>
    </w:p>
    <w:p w:rsidR="00740256" w:rsidRDefault="00F8504F">
      <w:pPr>
        <w:adjustRightInd w:val="0"/>
        <w:snapToGrid w:val="0"/>
        <w:spacing w:line="520" w:lineRule="exact"/>
        <w:ind w:firstLineChars="200" w:firstLine="643"/>
        <w:rPr>
          <w:rStyle w:val="NormalCharacter"/>
          <w:rFonts w:ascii="Times New Roman" w:eastAsia="仿宋_GB2312" w:hAnsi="Times New Roman" w:cs="Times New Roman"/>
          <w:color w:val="000000"/>
          <w:sz w:val="32"/>
          <w:szCs w:val="32"/>
        </w:rPr>
      </w:pPr>
      <w:r>
        <w:rPr>
          <w:rStyle w:val="NormalCharacter"/>
          <w:rFonts w:ascii="楷体_GB2312" w:eastAsia="楷体_GB2312" w:hAnsi="楷体_GB2312" w:cs="楷体_GB2312" w:hint="eastAsia"/>
          <w:b/>
          <w:bCs/>
          <w:color w:val="000000"/>
          <w:kern w:val="0"/>
          <w:sz w:val="32"/>
          <w:szCs w:val="32"/>
        </w:rPr>
        <w:t>（一）内设机构设置。</w:t>
      </w:r>
      <w:r>
        <w:rPr>
          <w:rFonts w:ascii="Times New Roman" w:eastAsia="仿宋_GB2312" w:hAnsi="Times New Roman" w:cs="Times New Roman"/>
          <w:color w:val="000000"/>
          <w:sz w:val="32"/>
          <w:szCs w:val="32"/>
        </w:rPr>
        <w:t>州库区移民事务中心内设机构包括：</w:t>
      </w:r>
      <w:r>
        <w:rPr>
          <w:rStyle w:val="NormalCharacter"/>
          <w:rFonts w:ascii="Times New Roman" w:eastAsia="仿宋_GB2312" w:hAnsi="Times New Roman" w:cs="Times New Roman"/>
          <w:color w:val="000000"/>
          <w:sz w:val="32"/>
          <w:szCs w:val="32"/>
        </w:rPr>
        <w:t>综合科、组织人事科、资金财务科、规划事务科、移民安置科、信访维权科。</w:t>
      </w:r>
    </w:p>
    <w:p w:rsidR="00740256" w:rsidRDefault="00F8504F">
      <w:pPr>
        <w:spacing w:line="600" w:lineRule="exact"/>
        <w:ind w:firstLineChars="200" w:firstLine="643"/>
        <w:rPr>
          <w:rStyle w:val="NormalCharacter"/>
          <w:rFonts w:ascii="Times New Roman" w:eastAsia="仿宋_GB2312" w:hAnsi="Times New Roman" w:cs="Times New Roman"/>
          <w:bCs/>
          <w:color w:val="000000"/>
          <w:kern w:val="0"/>
          <w:sz w:val="32"/>
          <w:szCs w:val="32"/>
        </w:rPr>
      </w:pPr>
      <w:r>
        <w:rPr>
          <w:rStyle w:val="NormalCharacter"/>
          <w:rFonts w:ascii="楷体_GB2312" w:eastAsia="楷体_GB2312" w:hAnsi="楷体_GB2312" w:cs="楷体_GB2312" w:hint="eastAsia"/>
          <w:b/>
          <w:bCs/>
          <w:color w:val="000000"/>
          <w:kern w:val="0"/>
          <w:sz w:val="32"/>
          <w:szCs w:val="32"/>
        </w:rPr>
        <w:t>（二）决算单位构成。</w:t>
      </w:r>
      <w:r>
        <w:rPr>
          <w:rFonts w:ascii="Times New Roman" w:eastAsia="仿宋_GB2312" w:hAnsi="Times New Roman" w:cs="Times New Roman"/>
          <w:color w:val="000000"/>
          <w:sz w:val="32"/>
          <w:szCs w:val="32"/>
        </w:rPr>
        <w:t>州库区移民事务中心</w:t>
      </w:r>
      <w:r>
        <w:rPr>
          <w:rStyle w:val="NormalCharacter"/>
          <w:rFonts w:ascii="Times New Roman" w:eastAsia="仿宋_GB2312" w:hAnsi="Times New Roman" w:cs="Times New Roman"/>
          <w:bCs/>
          <w:color w:val="000000"/>
          <w:kern w:val="0"/>
          <w:sz w:val="32"/>
          <w:szCs w:val="32"/>
        </w:rPr>
        <w:t>2020</w:t>
      </w:r>
      <w:r>
        <w:rPr>
          <w:rStyle w:val="NormalCharacter"/>
          <w:rFonts w:ascii="Times New Roman" w:eastAsia="仿宋_GB2312" w:hAnsi="Times New Roman" w:cs="Times New Roman"/>
          <w:bCs/>
          <w:color w:val="000000"/>
          <w:kern w:val="0"/>
          <w:sz w:val="32"/>
          <w:szCs w:val="32"/>
        </w:rPr>
        <w:t>年部门决算汇总公开单位构成包括：</w:t>
      </w:r>
      <w:r>
        <w:rPr>
          <w:rFonts w:ascii="Times New Roman" w:eastAsia="仿宋_GB2312" w:hAnsi="Times New Roman" w:cs="Times New Roman"/>
          <w:color w:val="000000"/>
          <w:sz w:val="32"/>
          <w:szCs w:val="32"/>
        </w:rPr>
        <w:t>州库区移民事务中心</w:t>
      </w:r>
      <w:r>
        <w:rPr>
          <w:rStyle w:val="NormalCharacter"/>
          <w:rFonts w:ascii="Times New Roman" w:eastAsia="仿宋_GB2312" w:hAnsi="Times New Roman" w:cs="Times New Roman"/>
          <w:bCs/>
          <w:color w:val="000000"/>
          <w:kern w:val="0"/>
          <w:sz w:val="32"/>
          <w:szCs w:val="32"/>
        </w:rPr>
        <w:t>本级，</w:t>
      </w:r>
      <w:r>
        <w:rPr>
          <w:rFonts w:ascii="Times New Roman" w:eastAsia="仿宋_GB2312" w:hAnsi="Times New Roman" w:cs="Times New Roman"/>
          <w:color w:val="000000"/>
          <w:kern w:val="0"/>
          <w:sz w:val="32"/>
          <w:szCs w:val="32"/>
        </w:rPr>
        <w:t>没有二级预算单位</w:t>
      </w:r>
      <w:r>
        <w:rPr>
          <w:rFonts w:ascii="Times New Roman" w:eastAsia="仿宋_GB2312" w:hAnsi="Times New Roman" w:cs="Times New Roman"/>
          <w:bCs/>
          <w:color w:val="000000"/>
          <w:sz w:val="32"/>
          <w:szCs w:val="32"/>
        </w:rPr>
        <w:t>。</w:t>
      </w:r>
    </w:p>
    <w:p w:rsidR="00740256" w:rsidRDefault="00740256">
      <w:pPr>
        <w:jc w:val="center"/>
        <w:rPr>
          <w:rFonts w:ascii="方正小标宋简体" w:eastAsia="方正小标宋简体" w:hAnsi="方正小标宋简体" w:cs="方正小标宋简体"/>
          <w:sz w:val="44"/>
          <w:szCs w:val="44"/>
        </w:rPr>
      </w:pPr>
    </w:p>
    <w:p w:rsidR="00740256" w:rsidRDefault="00740256">
      <w:pPr>
        <w:jc w:val="center"/>
        <w:rPr>
          <w:rFonts w:ascii="方正小标宋简体" w:eastAsia="方正小标宋简体" w:hAnsi="方正小标宋简体" w:cs="方正小标宋简体"/>
          <w:sz w:val="44"/>
          <w:szCs w:val="44"/>
        </w:rPr>
      </w:pPr>
    </w:p>
    <w:p w:rsidR="00740256" w:rsidRDefault="00740256">
      <w:pPr>
        <w:jc w:val="center"/>
        <w:rPr>
          <w:rFonts w:ascii="方正小标宋简体" w:eastAsia="方正小标宋简体" w:hAnsi="方正小标宋简体" w:cs="方正小标宋简体"/>
          <w:sz w:val="44"/>
          <w:szCs w:val="44"/>
        </w:rPr>
      </w:pPr>
    </w:p>
    <w:p w:rsidR="00740256" w:rsidRDefault="00740256">
      <w:pPr>
        <w:jc w:val="center"/>
        <w:rPr>
          <w:rFonts w:ascii="方正小标宋简体" w:eastAsia="方正小标宋简体" w:hAnsi="方正小标宋简体" w:cs="方正小标宋简体"/>
          <w:sz w:val="44"/>
          <w:szCs w:val="44"/>
        </w:rPr>
      </w:pPr>
    </w:p>
    <w:p w:rsidR="00002BCE" w:rsidRDefault="00002BCE">
      <w:pPr>
        <w:jc w:val="center"/>
        <w:rPr>
          <w:rFonts w:ascii="方正小标宋简体" w:eastAsia="方正小标宋简体" w:hAnsi="方正小标宋简体" w:cs="方正小标宋简体"/>
          <w:sz w:val="44"/>
          <w:szCs w:val="44"/>
        </w:rPr>
      </w:pPr>
    </w:p>
    <w:p w:rsidR="00740256" w:rsidRDefault="00F8504F">
      <w:pPr>
        <w:jc w:val="center"/>
        <w:rPr>
          <w:rFonts w:ascii="黑体" w:eastAsia="黑体" w:hAnsi="黑体" w:cs="黑体"/>
          <w:sz w:val="44"/>
          <w:szCs w:val="44"/>
        </w:rPr>
      </w:pPr>
      <w:r>
        <w:rPr>
          <w:rFonts w:ascii="黑体" w:eastAsia="黑体" w:hAnsi="黑体" w:cs="黑体" w:hint="eastAsia"/>
          <w:sz w:val="44"/>
          <w:szCs w:val="44"/>
        </w:rPr>
        <w:t>第二部分 部门决算表</w:t>
      </w:r>
    </w:p>
    <w:tbl>
      <w:tblPr>
        <w:tblW w:w="5158" w:type="pct"/>
        <w:tblLayout w:type="fixed"/>
        <w:tblLook w:val="04A0" w:firstRow="1" w:lastRow="0" w:firstColumn="1" w:lastColumn="0" w:noHBand="0" w:noVBand="1"/>
      </w:tblPr>
      <w:tblGrid>
        <w:gridCol w:w="5234"/>
        <w:gridCol w:w="754"/>
        <w:gridCol w:w="1801"/>
        <w:gridCol w:w="3826"/>
        <w:gridCol w:w="1197"/>
        <w:gridCol w:w="1857"/>
      </w:tblGrid>
      <w:tr w:rsidR="00740256">
        <w:trPr>
          <w:trHeight w:val="2184"/>
        </w:trPr>
        <w:tc>
          <w:tcPr>
            <w:tcW w:w="5000" w:type="pct"/>
            <w:gridSpan w:val="6"/>
            <w:tcBorders>
              <w:top w:val="nil"/>
              <w:left w:val="nil"/>
              <w:right w:val="nil"/>
            </w:tcBorders>
            <w:shd w:val="clear" w:color="auto" w:fill="auto"/>
            <w:noWrap/>
            <w:vAlign w:val="bottom"/>
          </w:tcPr>
          <w:p w:rsidR="00740256" w:rsidRPr="00002BCE" w:rsidRDefault="00F8504F">
            <w:pPr>
              <w:widowControl/>
              <w:jc w:val="center"/>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t>收入支出决算总表</w:t>
            </w:r>
          </w:p>
          <w:p w:rsidR="00740256" w:rsidRDefault="00F8504F">
            <w:pPr>
              <w:widowControl/>
              <w:jc w:val="right"/>
              <w:rPr>
                <w:rFonts w:ascii="仿宋" w:eastAsia="仿宋" w:hAnsi="仿宋" w:cs="Arial"/>
                <w:color w:val="000000"/>
                <w:kern w:val="0"/>
                <w:sz w:val="24"/>
                <w:szCs w:val="24"/>
              </w:rPr>
            </w:pPr>
            <w:r>
              <w:rPr>
                <w:rFonts w:ascii="仿宋" w:eastAsia="仿宋" w:hAnsi="仿宋" w:cs="Arial" w:hint="eastAsia"/>
                <w:color w:val="000000"/>
                <w:kern w:val="0"/>
                <w:sz w:val="24"/>
                <w:szCs w:val="24"/>
              </w:rPr>
              <w:t>公开01表</w:t>
            </w:r>
          </w:p>
          <w:p w:rsidR="00740256" w:rsidRDefault="00F8504F">
            <w:pPr>
              <w:widowControl/>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部门：湖南省湘西自治州库区移民事务中心</w:t>
            </w:r>
          </w:p>
          <w:p w:rsidR="00740256" w:rsidRDefault="00F8504F">
            <w:pPr>
              <w:ind w:right="200"/>
              <w:jc w:val="right"/>
              <w:rPr>
                <w:rFonts w:ascii="仿宋" w:eastAsia="仿宋" w:hAnsi="仿宋" w:cs="Arial"/>
                <w:color w:val="000000"/>
                <w:kern w:val="0"/>
                <w:sz w:val="24"/>
                <w:szCs w:val="24"/>
              </w:rPr>
            </w:pPr>
            <w:r>
              <w:rPr>
                <w:rFonts w:ascii="仿宋_GB2312" w:eastAsia="仿宋_GB2312" w:hAnsi="仿宋_GB2312" w:cs="仿宋_GB2312" w:hint="eastAsia"/>
                <w:color w:val="000000"/>
                <w:kern w:val="0"/>
                <w:sz w:val="24"/>
                <w:szCs w:val="24"/>
              </w:rPr>
              <w:t>金额单位：万元</w:t>
            </w:r>
          </w:p>
        </w:tc>
      </w:tr>
      <w:tr w:rsidR="00740256">
        <w:trPr>
          <w:trHeight w:val="232"/>
        </w:trPr>
        <w:tc>
          <w:tcPr>
            <w:tcW w:w="2655"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收入</w:t>
            </w:r>
            <w:r>
              <w:rPr>
                <w:rFonts w:ascii="Times New Roman" w:eastAsia="仿宋_GB2312" w:hAnsi="Times New Roman" w:cs="Times New Roman"/>
                <w:color w:val="000000"/>
                <w:kern w:val="0"/>
                <w:sz w:val="22"/>
              </w:rPr>
              <w:t xml:space="preserve">        </w:t>
            </w:r>
          </w:p>
        </w:tc>
        <w:tc>
          <w:tcPr>
            <w:tcW w:w="2344" w:type="pct"/>
            <w:gridSpan w:val="3"/>
            <w:tcBorders>
              <w:top w:val="single" w:sz="4" w:space="0" w:color="000000"/>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支出</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行次</w:t>
            </w:r>
          </w:p>
        </w:tc>
        <w:tc>
          <w:tcPr>
            <w:tcW w:w="61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金额</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行次</w:t>
            </w:r>
          </w:p>
        </w:tc>
        <w:tc>
          <w:tcPr>
            <w:tcW w:w="6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金额</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栏次</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61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栏次</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6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一、一般公共预算财政拨款收入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655.23</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一、一般公共服务支出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32</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19.46</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二、政府性基金预算财政拨款收入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159.17</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二、外交支出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33</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三、国有资本经营预算财政拨款收入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三、国防支出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34</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四、上级补助收入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四、公共安全支出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35</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五、事业收入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五、教育支出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36</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六、经营收入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六、科学技术支出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37</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七、附属单位上缴收入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七、文化旅游体育与传媒支出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38</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八、其他收入</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八、社会保障和就业支出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39</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216.02</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9</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九、卫生健康支出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40</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十、节能环保支出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41</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十一、城乡社区支出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十二、农林水支出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43</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538.18</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13</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十三、交通运输支出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44</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14</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十四、资源勘探工业信息等支出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45</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十五、商业服务业等支出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46</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16</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十六、金融支出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47</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17</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十七、援助其他地区支出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48</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18</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十八、自然资源海洋气象等支出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49</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十九、住房保障支出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二十、粮油物资储备支出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51</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二十一、国有资本经营预算支出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52</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二十二、灾害防治及应急管理支出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二十三、其他支出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54</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24</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二十四、债务还本支出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25</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二十五、债务付息支出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56</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二十六、抗</w:t>
            </w:r>
            <w:proofErr w:type="gramStart"/>
            <w:r>
              <w:rPr>
                <w:rFonts w:ascii="Times New Roman" w:eastAsia="仿宋_GB2312" w:hAnsi="Times New Roman" w:cs="Times New Roman"/>
                <w:color w:val="000000"/>
                <w:kern w:val="0"/>
                <w:sz w:val="22"/>
              </w:rPr>
              <w:t>疫</w:t>
            </w:r>
            <w:proofErr w:type="gramEnd"/>
            <w:r>
              <w:rPr>
                <w:rFonts w:ascii="Times New Roman" w:eastAsia="仿宋_GB2312" w:hAnsi="Times New Roman" w:cs="Times New Roman"/>
                <w:color w:val="000000"/>
                <w:kern w:val="0"/>
                <w:sz w:val="22"/>
              </w:rPr>
              <w:t>特别国债安排的支出</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57</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本年收入合计</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27</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814.40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本年支出合计</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58</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807.42</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使用非财政拨款结余</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结余分配</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年初结转和结余</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29</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75.77</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年末结转和结余</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60</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82.75</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25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61</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trHeight w:val="308"/>
        </w:trPr>
        <w:tc>
          <w:tcPr>
            <w:tcW w:w="1784"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总计</w:t>
            </w:r>
          </w:p>
        </w:tc>
        <w:tc>
          <w:tcPr>
            <w:tcW w:w="257" w:type="pct"/>
            <w:tcBorders>
              <w:top w:val="nil"/>
              <w:left w:val="nil"/>
              <w:bottom w:val="single" w:sz="8"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w:t>
            </w:r>
          </w:p>
        </w:tc>
        <w:tc>
          <w:tcPr>
            <w:tcW w:w="614"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890.17</w:t>
            </w:r>
          </w:p>
        </w:tc>
        <w:tc>
          <w:tcPr>
            <w:tcW w:w="1304"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总计</w:t>
            </w:r>
          </w:p>
        </w:tc>
        <w:tc>
          <w:tcPr>
            <w:tcW w:w="40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62</w:t>
            </w:r>
          </w:p>
        </w:tc>
        <w:tc>
          <w:tcPr>
            <w:tcW w:w="631"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890.17</w:t>
            </w:r>
          </w:p>
        </w:tc>
      </w:tr>
      <w:tr w:rsidR="00740256">
        <w:trPr>
          <w:trHeight w:val="308"/>
        </w:trPr>
        <w:tc>
          <w:tcPr>
            <w:tcW w:w="5000" w:type="pct"/>
            <w:gridSpan w:val="6"/>
            <w:tcBorders>
              <w:top w:val="nil"/>
              <w:left w:val="nil"/>
              <w:bottom w:val="nil"/>
              <w:right w:val="nil"/>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注：本表反映部门本年度的总收支和年末结转结余情况。本套报表金额单位转换时可能存在尾数误差。</w:t>
            </w:r>
          </w:p>
        </w:tc>
      </w:tr>
    </w:tbl>
    <w:p w:rsidR="00740256" w:rsidRDefault="00740256">
      <w:pPr>
        <w:jc w:val="center"/>
        <w:rPr>
          <w:rFonts w:ascii="仿宋" w:eastAsia="仿宋" w:hAnsi="仿宋"/>
          <w:sz w:val="22"/>
        </w:rPr>
      </w:pPr>
    </w:p>
    <w:p w:rsidR="00740256" w:rsidRDefault="00740256">
      <w:pPr>
        <w:jc w:val="center"/>
        <w:rPr>
          <w:rFonts w:ascii="仿宋" w:eastAsia="仿宋" w:hAnsi="仿宋"/>
          <w:sz w:val="22"/>
        </w:rPr>
      </w:pPr>
    </w:p>
    <w:p w:rsidR="00740256" w:rsidRDefault="00740256">
      <w:pPr>
        <w:jc w:val="center"/>
        <w:rPr>
          <w:rFonts w:ascii="仿宋" w:eastAsia="仿宋" w:hAnsi="仿宋"/>
          <w:sz w:val="22"/>
        </w:rPr>
      </w:pPr>
    </w:p>
    <w:p w:rsidR="00740256" w:rsidRDefault="00740256">
      <w:pPr>
        <w:jc w:val="center"/>
        <w:rPr>
          <w:rFonts w:ascii="仿宋" w:eastAsia="仿宋" w:hAnsi="仿宋"/>
          <w:sz w:val="22"/>
        </w:rPr>
      </w:pPr>
    </w:p>
    <w:p w:rsidR="00740256" w:rsidRDefault="00740256">
      <w:pPr>
        <w:jc w:val="center"/>
        <w:rPr>
          <w:rFonts w:ascii="仿宋" w:eastAsia="仿宋" w:hAnsi="仿宋"/>
          <w:sz w:val="22"/>
        </w:rPr>
      </w:pPr>
    </w:p>
    <w:tbl>
      <w:tblPr>
        <w:tblW w:w="0" w:type="auto"/>
        <w:tblLayout w:type="fixed"/>
        <w:tblLook w:val="04A0" w:firstRow="1" w:lastRow="0" w:firstColumn="1" w:lastColumn="0" w:noHBand="0" w:noVBand="1"/>
      </w:tblPr>
      <w:tblGrid>
        <w:gridCol w:w="1577"/>
        <w:gridCol w:w="4024"/>
        <w:gridCol w:w="1505"/>
        <w:gridCol w:w="1325"/>
        <w:gridCol w:w="1078"/>
        <w:gridCol w:w="1078"/>
        <w:gridCol w:w="1123"/>
        <w:gridCol w:w="1213"/>
        <w:gridCol w:w="997"/>
      </w:tblGrid>
      <w:tr w:rsidR="00740256">
        <w:trPr>
          <w:trHeight w:val="2516"/>
        </w:trPr>
        <w:tc>
          <w:tcPr>
            <w:tcW w:w="13920" w:type="dxa"/>
            <w:gridSpan w:val="9"/>
            <w:tcBorders>
              <w:top w:val="nil"/>
              <w:left w:val="nil"/>
            </w:tcBorders>
            <w:shd w:val="clear" w:color="auto" w:fill="auto"/>
            <w:noWrap/>
            <w:vAlign w:val="bottom"/>
          </w:tcPr>
          <w:p w:rsidR="00740256" w:rsidRDefault="00740256">
            <w:pPr>
              <w:widowControl/>
              <w:jc w:val="center"/>
              <w:rPr>
                <w:rFonts w:ascii="仿宋" w:eastAsia="仿宋" w:hAnsi="仿宋" w:cs="Arial"/>
                <w:color w:val="000000"/>
                <w:kern w:val="0"/>
                <w:sz w:val="24"/>
                <w:szCs w:val="24"/>
              </w:rPr>
            </w:pPr>
          </w:p>
          <w:p w:rsidR="00740256" w:rsidRPr="00002BCE" w:rsidRDefault="00F8504F">
            <w:pPr>
              <w:widowControl/>
              <w:jc w:val="center"/>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t>收入决算表</w:t>
            </w:r>
          </w:p>
          <w:p w:rsidR="00740256" w:rsidRDefault="00F8504F">
            <w:pPr>
              <w:widowControl/>
              <w:jc w:val="right"/>
              <w:rPr>
                <w:rFonts w:ascii="仿宋" w:eastAsia="仿宋" w:hAnsi="仿宋" w:cs="Arial"/>
                <w:color w:val="000000"/>
                <w:kern w:val="0"/>
                <w:sz w:val="24"/>
                <w:szCs w:val="24"/>
              </w:rPr>
            </w:pPr>
            <w:r>
              <w:rPr>
                <w:rFonts w:ascii="仿宋" w:eastAsia="仿宋" w:hAnsi="仿宋" w:cs="Arial" w:hint="eastAsia"/>
                <w:color w:val="000000"/>
                <w:kern w:val="0"/>
                <w:sz w:val="24"/>
                <w:szCs w:val="24"/>
              </w:rPr>
              <w:t>公开02表</w:t>
            </w:r>
          </w:p>
          <w:p w:rsidR="00740256" w:rsidRDefault="00740256">
            <w:pPr>
              <w:widowControl/>
              <w:jc w:val="left"/>
              <w:rPr>
                <w:rFonts w:ascii="仿宋" w:eastAsia="仿宋" w:hAnsi="仿宋" w:cs="Arial"/>
                <w:color w:val="000000"/>
                <w:kern w:val="0"/>
                <w:sz w:val="24"/>
                <w:szCs w:val="24"/>
              </w:rPr>
            </w:pPr>
          </w:p>
          <w:p w:rsidR="00740256" w:rsidRDefault="00740256">
            <w:pPr>
              <w:widowControl/>
              <w:jc w:val="left"/>
              <w:rPr>
                <w:rFonts w:ascii="仿宋" w:eastAsia="仿宋" w:hAnsi="仿宋" w:cs="Arial"/>
                <w:color w:val="000000"/>
                <w:kern w:val="0"/>
                <w:sz w:val="24"/>
                <w:szCs w:val="24"/>
              </w:rPr>
            </w:pPr>
          </w:p>
          <w:p w:rsidR="00740256" w:rsidRDefault="00740256">
            <w:pPr>
              <w:widowControl/>
              <w:jc w:val="left"/>
              <w:rPr>
                <w:rFonts w:ascii="仿宋" w:eastAsia="仿宋" w:hAnsi="仿宋" w:cs="Arial"/>
                <w:color w:val="000000"/>
                <w:kern w:val="0"/>
                <w:sz w:val="24"/>
                <w:szCs w:val="24"/>
              </w:rPr>
            </w:pPr>
          </w:p>
          <w:p w:rsidR="00740256" w:rsidRDefault="00F8504F">
            <w:pPr>
              <w:widowControl/>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部门：湖南省湘西自治州库区移民事务中心</w:t>
            </w:r>
          </w:p>
          <w:p w:rsidR="00740256" w:rsidRDefault="00F8504F">
            <w:pPr>
              <w:jc w:val="right"/>
              <w:rPr>
                <w:rFonts w:ascii="仿宋" w:eastAsia="仿宋" w:hAnsi="仿宋" w:cs="Arial"/>
                <w:color w:val="000000"/>
                <w:kern w:val="0"/>
                <w:sz w:val="24"/>
                <w:szCs w:val="24"/>
              </w:rPr>
            </w:pPr>
            <w:r>
              <w:rPr>
                <w:rFonts w:ascii="仿宋" w:eastAsia="仿宋" w:hAnsi="仿宋" w:cs="Arial" w:hint="eastAsia"/>
                <w:color w:val="000000"/>
                <w:kern w:val="0"/>
                <w:sz w:val="24"/>
                <w:szCs w:val="24"/>
              </w:rPr>
              <w:t>金额单位：万元</w:t>
            </w:r>
          </w:p>
        </w:tc>
      </w:tr>
      <w:tr w:rsidR="00740256">
        <w:trPr>
          <w:trHeight w:val="324"/>
        </w:trPr>
        <w:tc>
          <w:tcPr>
            <w:tcW w:w="5601"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w:t>
            </w:r>
          </w:p>
        </w:tc>
        <w:tc>
          <w:tcPr>
            <w:tcW w:w="1505" w:type="dxa"/>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本年收入合计</w:t>
            </w:r>
          </w:p>
        </w:tc>
        <w:tc>
          <w:tcPr>
            <w:tcW w:w="1325" w:type="dxa"/>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财政拨款收入</w:t>
            </w:r>
          </w:p>
        </w:tc>
        <w:tc>
          <w:tcPr>
            <w:tcW w:w="1078" w:type="dxa"/>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上级补助收入</w:t>
            </w:r>
          </w:p>
        </w:tc>
        <w:tc>
          <w:tcPr>
            <w:tcW w:w="1078" w:type="dxa"/>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事业收入</w:t>
            </w:r>
          </w:p>
        </w:tc>
        <w:tc>
          <w:tcPr>
            <w:tcW w:w="1123" w:type="dxa"/>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经营收入</w:t>
            </w:r>
          </w:p>
        </w:tc>
        <w:tc>
          <w:tcPr>
            <w:tcW w:w="1213" w:type="dxa"/>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附属单位上缴收入</w:t>
            </w:r>
          </w:p>
        </w:tc>
        <w:tc>
          <w:tcPr>
            <w:tcW w:w="997" w:type="dxa"/>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其他收入</w:t>
            </w:r>
          </w:p>
        </w:tc>
      </w:tr>
      <w:tr w:rsidR="00740256">
        <w:trPr>
          <w:trHeight w:val="324"/>
        </w:trPr>
        <w:tc>
          <w:tcPr>
            <w:tcW w:w="1577" w:type="dxa"/>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功能分类科目编码</w:t>
            </w:r>
          </w:p>
        </w:tc>
        <w:tc>
          <w:tcPr>
            <w:tcW w:w="4024" w:type="dxa"/>
            <w:vMerge w:val="restar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1505"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325"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78"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78"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123"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213"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24"/>
        </w:trPr>
        <w:tc>
          <w:tcPr>
            <w:tcW w:w="1577" w:type="dxa"/>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024" w:type="dxa"/>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505"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325"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78"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78"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123"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213"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24"/>
        </w:trPr>
        <w:tc>
          <w:tcPr>
            <w:tcW w:w="1577" w:type="dxa"/>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024" w:type="dxa"/>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505"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325"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78"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78"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123"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213"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24"/>
        </w:trPr>
        <w:tc>
          <w:tcPr>
            <w:tcW w:w="5601" w:type="dxa"/>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栏次</w:t>
            </w:r>
          </w:p>
        </w:tc>
        <w:tc>
          <w:tcPr>
            <w:tcW w:w="1505" w:type="dxa"/>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1325" w:type="dxa"/>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1078" w:type="dxa"/>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c>
          <w:tcPr>
            <w:tcW w:w="1078" w:type="dxa"/>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p>
        </w:tc>
        <w:tc>
          <w:tcPr>
            <w:tcW w:w="1123" w:type="dxa"/>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p>
        </w:tc>
        <w:tc>
          <w:tcPr>
            <w:tcW w:w="1213" w:type="dxa"/>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w:t>
            </w:r>
          </w:p>
        </w:tc>
        <w:tc>
          <w:tcPr>
            <w:tcW w:w="997" w:type="dxa"/>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w:t>
            </w:r>
          </w:p>
        </w:tc>
      </w:tr>
      <w:tr w:rsidR="00740256">
        <w:trPr>
          <w:trHeight w:val="324"/>
        </w:trPr>
        <w:tc>
          <w:tcPr>
            <w:tcW w:w="5601" w:type="dxa"/>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814.40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814.40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一般公共服务支出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25.00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25.00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620"/>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20103</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政府办公厅（室）及相关机构事务</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639"/>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2010399</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其他政府办公厅（室）及相关机构事务支出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20104</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发展与改革事务</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2010499</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其他发展与改革事务支出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社会保障和就业支出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216.02</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216.02</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620"/>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人力资源和社会保障管理事务</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2080109</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社会保险经办机构</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行政事业单位养老支出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55.67</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55.67</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2080501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行政单位离退休</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27.24</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27.24</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620"/>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2080505</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机关事业单位基本养老保险缴费支出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28.43</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28.43</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620"/>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20822</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大中型水库移民后期扶持基金支出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2082202</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基础设施建设和经济发展</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620"/>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20823</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小型水库移民扶助基金安排的支出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2082302</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基础设施建设和经济发展</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卫生健康支出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21011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行政事业单位医疗</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2101101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行政单位医疗</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农林水支出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539.62</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539.62</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水利</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539.62</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539.62</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行政运行</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318.42</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318.42</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2130302</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一般行政管理事务</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44.20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44.20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2130303</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机关服务</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620"/>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2130321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大中型水库移民后期扶持专项支出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101.00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101.00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2130399</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其他水利支出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46.00</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46.00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住房保障支出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22102</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住房改革支出</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577" w:type="dxa"/>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2210201</w:t>
            </w:r>
          </w:p>
        </w:tc>
        <w:tc>
          <w:tcPr>
            <w:tcW w:w="4024"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住房公积金</w:t>
            </w:r>
          </w:p>
        </w:tc>
        <w:tc>
          <w:tcPr>
            <w:tcW w:w="150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1325"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078"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12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1213"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997" w:type="dxa"/>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24"/>
        </w:trPr>
        <w:tc>
          <w:tcPr>
            <w:tcW w:w="13920" w:type="dxa"/>
            <w:gridSpan w:val="9"/>
            <w:tcBorders>
              <w:top w:val="nil"/>
              <w:left w:val="nil"/>
              <w:bottom w:val="nil"/>
              <w:right w:val="nil"/>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注：本表反映部门本年度取得的各项收入情况。</w:t>
            </w:r>
          </w:p>
        </w:tc>
      </w:tr>
    </w:tbl>
    <w:p w:rsidR="00740256" w:rsidRDefault="00740256">
      <w:pPr>
        <w:jc w:val="center"/>
        <w:rPr>
          <w:sz w:val="22"/>
        </w:rPr>
      </w:pPr>
    </w:p>
    <w:tbl>
      <w:tblPr>
        <w:tblW w:w="5000" w:type="pct"/>
        <w:tblLayout w:type="fixed"/>
        <w:tblLook w:val="04A0" w:firstRow="1" w:lastRow="0" w:firstColumn="1" w:lastColumn="0" w:noHBand="0" w:noVBand="1"/>
      </w:tblPr>
      <w:tblGrid>
        <w:gridCol w:w="482"/>
        <w:gridCol w:w="483"/>
        <w:gridCol w:w="714"/>
        <w:gridCol w:w="4892"/>
        <w:gridCol w:w="1445"/>
        <w:gridCol w:w="1468"/>
        <w:gridCol w:w="1399"/>
        <w:gridCol w:w="1101"/>
        <w:gridCol w:w="1078"/>
        <w:gridCol w:w="1158"/>
      </w:tblGrid>
      <w:tr w:rsidR="00740256">
        <w:trPr>
          <w:trHeight w:val="390"/>
        </w:trPr>
        <w:tc>
          <w:tcPr>
            <w:tcW w:w="17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7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25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719"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2688" w:type="pct"/>
            <w:gridSpan w:val="6"/>
            <w:vMerge w:val="restart"/>
            <w:tcBorders>
              <w:top w:val="nil"/>
              <w:left w:val="nil"/>
            </w:tcBorders>
            <w:shd w:val="clear" w:color="auto" w:fill="auto"/>
            <w:noWrap/>
            <w:vAlign w:val="bottom"/>
          </w:tcPr>
          <w:p w:rsidR="00740256" w:rsidRDefault="00740256" w:rsidP="00002BCE">
            <w:pPr>
              <w:widowControl/>
              <w:rPr>
                <w:rFonts w:ascii="宋体" w:eastAsia="宋体" w:hAnsi="宋体" w:cs="Arial"/>
                <w:color w:val="000000"/>
                <w:kern w:val="0"/>
                <w:sz w:val="30"/>
                <w:szCs w:val="30"/>
              </w:rPr>
            </w:pPr>
          </w:p>
          <w:p w:rsidR="00740256" w:rsidRPr="00002BCE" w:rsidRDefault="00F8504F">
            <w:pPr>
              <w:widowControl/>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lastRenderedPageBreak/>
              <w:t>支出决算表</w:t>
            </w:r>
          </w:p>
          <w:p w:rsidR="00740256" w:rsidRDefault="00F8504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公开03表</w:t>
            </w:r>
          </w:p>
          <w:p w:rsidR="00740256" w:rsidRDefault="00F8504F">
            <w:pPr>
              <w:jc w:val="right"/>
              <w:rPr>
                <w:rFonts w:ascii="Arial" w:eastAsia="宋体" w:hAnsi="Arial" w:cs="Arial"/>
                <w:color w:val="000000"/>
                <w:kern w:val="0"/>
                <w:sz w:val="20"/>
                <w:szCs w:val="20"/>
              </w:rPr>
            </w:pPr>
            <w:r>
              <w:rPr>
                <w:rFonts w:ascii="宋体" w:eastAsia="宋体" w:hAnsi="宋体" w:cs="Arial" w:hint="eastAsia"/>
                <w:color w:val="000000"/>
                <w:kern w:val="0"/>
                <w:sz w:val="20"/>
                <w:szCs w:val="20"/>
              </w:rPr>
              <w:t>金额单位：万元</w:t>
            </w:r>
          </w:p>
        </w:tc>
      </w:tr>
      <w:tr w:rsidR="00740256">
        <w:trPr>
          <w:trHeight w:val="255"/>
        </w:trPr>
        <w:tc>
          <w:tcPr>
            <w:tcW w:w="17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7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25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719"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2688" w:type="pct"/>
            <w:gridSpan w:val="6"/>
            <w:vMerge/>
            <w:tcBorders>
              <w:left w:val="nil"/>
            </w:tcBorders>
            <w:shd w:val="clear" w:color="auto" w:fill="auto"/>
            <w:noWrap/>
            <w:vAlign w:val="bottom"/>
          </w:tcPr>
          <w:p w:rsidR="00740256" w:rsidRDefault="00740256">
            <w:pPr>
              <w:jc w:val="right"/>
              <w:rPr>
                <w:rFonts w:ascii="宋体" w:eastAsia="宋体" w:hAnsi="宋体" w:cs="Arial"/>
                <w:color w:val="000000"/>
                <w:kern w:val="0"/>
                <w:sz w:val="20"/>
                <w:szCs w:val="20"/>
              </w:rPr>
            </w:pPr>
          </w:p>
        </w:tc>
      </w:tr>
      <w:tr w:rsidR="00740256">
        <w:trPr>
          <w:trHeight w:val="255"/>
        </w:trPr>
        <w:tc>
          <w:tcPr>
            <w:tcW w:w="2311" w:type="pct"/>
            <w:gridSpan w:val="4"/>
            <w:tcBorders>
              <w:top w:val="nil"/>
              <w:left w:val="nil"/>
              <w:bottom w:val="nil"/>
              <w:right w:val="nil"/>
            </w:tcBorders>
            <w:shd w:val="clear" w:color="auto" w:fill="auto"/>
            <w:noWrap/>
            <w:vAlign w:val="bottom"/>
          </w:tcPr>
          <w:p w:rsidR="00740256" w:rsidRDefault="00F8504F">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lastRenderedPageBreak/>
              <w:t>部门：湖南省湘西自治州库区移民事务中心</w:t>
            </w:r>
          </w:p>
        </w:tc>
        <w:tc>
          <w:tcPr>
            <w:tcW w:w="2688" w:type="pct"/>
            <w:gridSpan w:val="6"/>
            <w:vMerge/>
            <w:tcBorders>
              <w:left w:val="nil"/>
              <w:bottom w:val="nil"/>
            </w:tcBorders>
            <w:shd w:val="clear" w:color="auto" w:fill="auto"/>
            <w:noWrap/>
            <w:vAlign w:val="bottom"/>
          </w:tcPr>
          <w:p w:rsidR="00740256" w:rsidRDefault="00740256">
            <w:pPr>
              <w:widowControl/>
              <w:jc w:val="right"/>
              <w:rPr>
                <w:rFonts w:ascii="Times New Roman" w:eastAsia="仿宋_GB2312" w:hAnsi="Times New Roman" w:cs="Times New Roman"/>
                <w:color w:val="000000"/>
                <w:kern w:val="0"/>
                <w:sz w:val="20"/>
                <w:szCs w:val="20"/>
              </w:rPr>
            </w:pPr>
          </w:p>
        </w:tc>
      </w:tr>
      <w:tr w:rsidR="00740256">
        <w:trPr>
          <w:trHeight w:val="308"/>
        </w:trPr>
        <w:tc>
          <w:tcPr>
            <w:tcW w:w="2311"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w:t>
            </w:r>
          </w:p>
        </w:tc>
        <w:tc>
          <w:tcPr>
            <w:tcW w:w="508" w:type="pct"/>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本年支出合计</w:t>
            </w:r>
          </w:p>
        </w:tc>
        <w:tc>
          <w:tcPr>
            <w:tcW w:w="516" w:type="pct"/>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基本支出</w:t>
            </w:r>
          </w:p>
        </w:tc>
        <w:tc>
          <w:tcPr>
            <w:tcW w:w="492" w:type="pct"/>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项目支出</w:t>
            </w:r>
          </w:p>
        </w:tc>
        <w:tc>
          <w:tcPr>
            <w:tcW w:w="387" w:type="pct"/>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上缴上级支出</w:t>
            </w:r>
          </w:p>
        </w:tc>
        <w:tc>
          <w:tcPr>
            <w:tcW w:w="379" w:type="pct"/>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经营支出</w:t>
            </w:r>
          </w:p>
        </w:tc>
        <w:tc>
          <w:tcPr>
            <w:tcW w:w="403" w:type="pct"/>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对附属单位补助支出</w:t>
            </w:r>
          </w:p>
        </w:tc>
      </w:tr>
      <w:tr w:rsidR="00740256">
        <w:trPr>
          <w:trHeight w:val="312"/>
        </w:trPr>
        <w:tc>
          <w:tcPr>
            <w:tcW w:w="591"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功能分类科目编码</w:t>
            </w:r>
          </w:p>
        </w:tc>
        <w:tc>
          <w:tcPr>
            <w:tcW w:w="1719" w:type="pct"/>
            <w:vMerge w:val="restar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508"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516"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92"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87"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79"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03"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12"/>
        </w:trPr>
        <w:tc>
          <w:tcPr>
            <w:tcW w:w="591" w:type="pct"/>
            <w:gridSpan w:val="3"/>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719" w:type="pct"/>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508"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516"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92"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87"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79"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03"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12"/>
        </w:trPr>
        <w:tc>
          <w:tcPr>
            <w:tcW w:w="591" w:type="pct"/>
            <w:gridSpan w:val="3"/>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719" w:type="pct"/>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508"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516"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92"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87"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79"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03" w:type="pct"/>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08"/>
        </w:trPr>
        <w:tc>
          <w:tcPr>
            <w:tcW w:w="2311" w:type="pct"/>
            <w:gridSpan w:val="4"/>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栏次</w:t>
            </w:r>
          </w:p>
        </w:tc>
        <w:tc>
          <w:tcPr>
            <w:tcW w:w="508"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516"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492"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c>
          <w:tcPr>
            <w:tcW w:w="387"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p>
        </w:tc>
        <w:tc>
          <w:tcPr>
            <w:tcW w:w="379"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p>
        </w:tc>
        <w:tc>
          <w:tcPr>
            <w:tcW w:w="403"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w:t>
            </w:r>
          </w:p>
        </w:tc>
      </w:tr>
      <w:tr w:rsidR="00740256">
        <w:trPr>
          <w:trHeight w:val="308"/>
        </w:trPr>
        <w:tc>
          <w:tcPr>
            <w:tcW w:w="2311" w:type="pct"/>
            <w:gridSpan w:val="4"/>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807.42</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435.81</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371.6</w:t>
            </w:r>
            <w:r>
              <w:rPr>
                <w:rFonts w:ascii="Times New Roman" w:eastAsia="仿宋_GB2312" w:hAnsi="Times New Roman" w:cs="Times New Roman" w:hint="eastAsia"/>
                <w:b/>
                <w:bCs/>
                <w:color w:val="000000"/>
                <w:kern w:val="0"/>
                <w:sz w:val="22"/>
              </w:rPr>
              <w:t>1</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一般公共服务支出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19.46</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19.46</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519"/>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20103</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政府办公厅（室）及相关机构事务</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2010399</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其他政府办公厅（室）及相关机构事务支出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20104</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发展与改革事务</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2010499</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其他发展与改革事务支出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20199</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其他一般公共服务支出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2019999</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其他一般公共服务支出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社会保障和就业支出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216.02</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56.86</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159.17</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人力资源和社会保障管理事务</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2080109</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社会保险经办机构</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行政事业单位养老支出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55.67</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55.67</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行政单位离退休</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27.24</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27.24</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2080505</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机关事业单位基本养老保险缴费支出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28.43</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28.43</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20822</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大中型水库移民后期扶持基金支出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2082202</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基础设施建设和经济发展</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20823</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小型水库移民扶助基金安排的支出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2082302</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基础设施建设和经济发展</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卫生健康支出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21011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行政事业单位医疗</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2101101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行政单位医疗</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农林水支出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538.18</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345.19</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192.99</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农业农村</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2130101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行政运行</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水利</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533.93</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340.94</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192.99</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行政运行</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314.94</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314.94</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2130302</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一般行政管理事务</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68.10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68.10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2130303</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机关服务</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26.31</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26.31</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2130321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大中型水库移民后期扶持专项支出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78.59</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78.59</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2130399</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其他水利支出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46.00</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住房保障支出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22102</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住房改革支出</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91" w:type="pct"/>
            <w:gridSpan w:val="3"/>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2210201</w:t>
            </w:r>
          </w:p>
        </w:tc>
        <w:tc>
          <w:tcPr>
            <w:tcW w:w="171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住房公积金</w:t>
            </w:r>
          </w:p>
        </w:tc>
        <w:tc>
          <w:tcPr>
            <w:tcW w:w="50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516"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87"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37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000" w:type="pct"/>
            <w:gridSpan w:val="10"/>
            <w:tcBorders>
              <w:top w:val="nil"/>
              <w:left w:val="nil"/>
              <w:bottom w:val="nil"/>
              <w:right w:val="nil"/>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注：本表反映部门本年度各项支出情况。</w:t>
            </w:r>
          </w:p>
        </w:tc>
      </w:tr>
    </w:tbl>
    <w:p w:rsidR="00740256" w:rsidRDefault="00740256">
      <w:pPr>
        <w:jc w:val="center"/>
        <w:rPr>
          <w:sz w:val="72"/>
          <w:szCs w:val="72"/>
        </w:rPr>
      </w:pPr>
    </w:p>
    <w:p w:rsidR="00740256" w:rsidRDefault="00740256">
      <w:pPr>
        <w:jc w:val="left"/>
        <w:rPr>
          <w:sz w:val="32"/>
          <w:szCs w:val="32"/>
        </w:rPr>
      </w:pPr>
    </w:p>
    <w:p w:rsidR="00740256" w:rsidRDefault="00740256">
      <w:pPr>
        <w:jc w:val="left"/>
        <w:rPr>
          <w:sz w:val="32"/>
          <w:szCs w:val="32"/>
        </w:rPr>
      </w:pPr>
    </w:p>
    <w:p w:rsidR="00740256" w:rsidRDefault="00740256">
      <w:pPr>
        <w:jc w:val="left"/>
        <w:rPr>
          <w:sz w:val="32"/>
          <w:szCs w:val="32"/>
        </w:rPr>
      </w:pPr>
    </w:p>
    <w:tbl>
      <w:tblPr>
        <w:tblW w:w="5000" w:type="pct"/>
        <w:tblLayout w:type="fixed"/>
        <w:tblLook w:val="04A0" w:firstRow="1" w:lastRow="0" w:firstColumn="1" w:lastColumn="0" w:noHBand="0" w:noVBand="1"/>
      </w:tblPr>
      <w:tblGrid>
        <w:gridCol w:w="1508"/>
        <w:gridCol w:w="1544"/>
        <w:gridCol w:w="944"/>
        <w:gridCol w:w="1192"/>
        <w:gridCol w:w="2750"/>
        <w:gridCol w:w="637"/>
        <w:gridCol w:w="370"/>
        <w:gridCol w:w="1260"/>
        <w:gridCol w:w="1399"/>
        <w:gridCol w:w="97"/>
        <w:gridCol w:w="1103"/>
        <w:gridCol w:w="151"/>
        <w:gridCol w:w="1251"/>
        <w:gridCol w:w="14"/>
      </w:tblGrid>
      <w:tr w:rsidR="00740256">
        <w:trPr>
          <w:gridAfter w:val="1"/>
          <w:wAfter w:w="4" w:type="pct"/>
          <w:trHeight w:val="375"/>
        </w:trPr>
        <w:tc>
          <w:tcPr>
            <w:tcW w:w="1073" w:type="pct"/>
            <w:gridSpan w:val="2"/>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331"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3590" w:type="pct"/>
            <w:gridSpan w:val="10"/>
            <w:vMerge w:val="restart"/>
            <w:tcBorders>
              <w:top w:val="nil"/>
              <w:left w:val="nil"/>
              <w:right w:val="nil"/>
            </w:tcBorders>
            <w:shd w:val="clear" w:color="auto" w:fill="auto"/>
            <w:noWrap/>
            <w:vAlign w:val="bottom"/>
          </w:tcPr>
          <w:p w:rsidR="00002BCE" w:rsidRDefault="00002BCE">
            <w:pPr>
              <w:widowControl/>
              <w:jc w:val="center"/>
              <w:rPr>
                <w:rFonts w:ascii="宋体" w:eastAsia="宋体" w:hAnsi="宋体" w:cs="Arial"/>
                <w:color w:val="000000"/>
                <w:kern w:val="0"/>
                <w:sz w:val="30"/>
                <w:szCs w:val="30"/>
              </w:rPr>
            </w:pPr>
          </w:p>
          <w:p w:rsidR="00740256" w:rsidRPr="00002BCE" w:rsidRDefault="00F8504F">
            <w:pPr>
              <w:widowControl/>
              <w:jc w:val="center"/>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lastRenderedPageBreak/>
              <w:t>财政拨款收入支出决算总表</w:t>
            </w:r>
          </w:p>
          <w:p w:rsidR="00740256" w:rsidRDefault="00F8504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公开04表</w:t>
            </w:r>
          </w:p>
          <w:p w:rsidR="00740256" w:rsidRDefault="00F8504F">
            <w:pPr>
              <w:jc w:val="right"/>
              <w:rPr>
                <w:rFonts w:ascii="Arial" w:eastAsia="宋体" w:hAnsi="Arial" w:cs="Arial"/>
                <w:color w:val="000000"/>
                <w:kern w:val="0"/>
                <w:sz w:val="20"/>
                <w:szCs w:val="20"/>
              </w:rPr>
            </w:pPr>
            <w:r>
              <w:rPr>
                <w:rFonts w:ascii="宋体" w:eastAsia="宋体" w:hAnsi="宋体" w:cs="Arial" w:hint="eastAsia"/>
                <w:color w:val="000000"/>
                <w:kern w:val="0"/>
                <w:sz w:val="20"/>
                <w:szCs w:val="20"/>
              </w:rPr>
              <w:t>金额单位：万元</w:t>
            </w:r>
          </w:p>
        </w:tc>
      </w:tr>
      <w:tr w:rsidR="00740256">
        <w:trPr>
          <w:gridAfter w:val="1"/>
          <w:wAfter w:w="4" w:type="pct"/>
          <w:trHeight w:val="300"/>
        </w:trPr>
        <w:tc>
          <w:tcPr>
            <w:tcW w:w="1073" w:type="pct"/>
            <w:gridSpan w:val="2"/>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331"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3590" w:type="pct"/>
            <w:gridSpan w:val="10"/>
            <w:vMerge/>
            <w:tcBorders>
              <w:left w:val="nil"/>
              <w:right w:val="nil"/>
            </w:tcBorders>
            <w:shd w:val="clear" w:color="auto" w:fill="auto"/>
            <w:noWrap/>
            <w:vAlign w:val="bottom"/>
          </w:tcPr>
          <w:p w:rsidR="00740256" w:rsidRDefault="00740256">
            <w:pPr>
              <w:jc w:val="right"/>
              <w:rPr>
                <w:rFonts w:ascii="宋体" w:eastAsia="宋体" w:hAnsi="宋体" w:cs="Arial"/>
                <w:color w:val="000000"/>
                <w:kern w:val="0"/>
                <w:sz w:val="20"/>
                <w:szCs w:val="20"/>
              </w:rPr>
            </w:pPr>
          </w:p>
        </w:tc>
      </w:tr>
      <w:tr w:rsidR="00740256">
        <w:trPr>
          <w:gridAfter w:val="1"/>
          <w:wAfter w:w="4" w:type="pct"/>
          <w:trHeight w:val="600"/>
        </w:trPr>
        <w:tc>
          <w:tcPr>
            <w:tcW w:w="1405" w:type="pct"/>
            <w:gridSpan w:val="3"/>
            <w:tcBorders>
              <w:top w:val="nil"/>
              <w:left w:val="nil"/>
              <w:bottom w:val="nil"/>
              <w:right w:val="nil"/>
            </w:tcBorders>
            <w:shd w:val="clear" w:color="auto" w:fill="auto"/>
            <w:noWrap/>
            <w:vAlign w:val="bottom"/>
          </w:tcPr>
          <w:p w:rsidR="00740256" w:rsidRDefault="00F8504F">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lastRenderedPageBreak/>
              <w:t>部门：湖南省湘西自治州库区移民事务中心</w:t>
            </w:r>
          </w:p>
        </w:tc>
        <w:tc>
          <w:tcPr>
            <w:tcW w:w="3590" w:type="pct"/>
            <w:gridSpan w:val="10"/>
            <w:vMerge/>
            <w:tcBorders>
              <w:left w:val="nil"/>
              <w:bottom w:val="nil"/>
              <w:right w:val="nil"/>
            </w:tcBorders>
            <w:shd w:val="clear" w:color="auto" w:fill="auto"/>
            <w:noWrap/>
            <w:vAlign w:val="bottom"/>
          </w:tcPr>
          <w:p w:rsidR="00740256" w:rsidRDefault="00740256">
            <w:pPr>
              <w:widowControl/>
              <w:jc w:val="right"/>
              <w:rPr>
                <w:rFonts w:ascii="仿宋_GB2312" w:eastAsia="仿宋_GB2312" w:hAnsi="仿宋_GB2312" w:cs="仿宋_GB2312"/>
                <w:color w:val="000000"/>
                <w:kern w:val="0"/>
                <w:sz w:val="20"/>
                <w:szCs w:val="20"/>
              </w:rPr>
            </w:pPr>
          </w:p>
        </w:tc>
      </w:tr>
      <w:tr w:rsidR="00740256">
        <w:trPr>
          <w:gridAfter w:val="1"/>
          <w:wAfter w:w="4" w:type="pct"/>
          <w:trHeight w:val="310"/>
        </w:trPr>
        <w:tc>
          <w:tcPr>
            <w:tcW w:w="1824"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收     入</w:t>
            </w:r>
          </w:p>
        </w:tc>
        <w:tc>
          <w:tcPr>
            <w:tcW w:w="3170" w:type="pct"/>
            <w:gridSpan w:val="9"/>
            <w:tcBorders>
              <w:top w:val="single" w:sz="4" w:space="0" w:color="000000"/>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支     出</w:t>
            </w:r>
          </w:p>
        </w:tc>
      </w:tr>
      <w:tr w:rsidR="00740256">
        <w:trPr>
          <w:gridAfter w:val="1"/>
          <w:wAfter w:w="4" w:type="pct"/>
          <w:trHeight w:val="312"/>
        </w:trPr>
        <w:tc>
          <w:tcPr>
            <w:tcW w:w="1073" w:type="pct"/>
            <w:gridSpan w:val="2"/>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项目</w:t>
            </w:r>
          </w:p>
        </w:tc>
        <w:tc>
          <w:tcPr>
            <w:tcW w:w="331"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行次</w:t>
            </w:r>
          </w:p>
        </w:tc>
        <w:tc>
          <w:tcPr>
            <w:tcW w:w="419"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金额</w:t>
            </w:r>
          </w:p>
        </w:tc>
        <w:tc>
          <w:tcPr>
            <w:tcW w:w="967"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项目</w:t>
            </w:r>
          </w:p>
        </w:tc>
        <w:tc>
          <w:tcPr>
            <w:tcW w:w="354"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行次</w:t>
            </w:r>
          </w:p>
        </w:tc>
        <w:tc>
          <w:tcPr>
            <w:tcW w:w="443" w:type="pct"/>
            <w:vMerge w:val="restar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合计</w:t>
            </w:r>
          </w:p>
        </w:tc>
        <w:tc>
          <w:tcPr>
            <w:tcW w:w="492"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一般公共预算财政拨款</w:t>
            </w:r>
          </w:p>
        </w:tc>
        <w:tc>
          <w:tcPr>
            <w:tcW w:w="419"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政府性基金预算财政拨款</w:t>
            </w:r>
          </w:p>
        </w:tc>
        <w:tc>
          <w:tcPr>
            <w:tcW w:w="492"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国有资本经营预算财政拨款</w:t>
            </w:r>
          </w:p>
        </w:tc>
      </w:tr>
      <w:tr w:rsidR="00740256">
        <w:trPr>
          <w:gridAfter w:val="1"/>
          <w:wAfter w:w="4" w:type="pct"/>
          <w:trHeight w:val="900"/>
        </w:trPr>
        <w:tc>
          <w:tcPr>
            <w:tcW w:w="1073" w:type="pct"/>
            <w:gridSpan w:val="2"/>
            <w:vMerge/>
            <w:tcBorders>
              <w:top w:val="nil"/>
              <w:left w:val="single" w:sz="4" w:space="0" w:color="000000"/>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331"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419"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967"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354" w:type="pct"/>
            <w:gridSpan w:val="2"/>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443"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492"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419" w:type="pct"/>
            <w:gridSpan w:val="2"/>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c>
          <w:tcPr>
            <w:tcW w:w="492" w:type="pct"/>
            <w:gridSpan w:val="2"/>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栏次</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19"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栏次</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4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w:t>
            </w:r>
          </w:p>
        </w:tc>
        <w:tc>
          <w:tcPr>
            <w:tcW w:w="492"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w:t>
            </w:r>
          </w:p>
        </w:tc>
        <w:tc>
          <w:tcPr>
            <w:tcW w:w="419"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w:t>
            </w:r>
          </w:p>
        </w:tc>
        <w:tc>
          <w:tcPr>
            <w:tcW w:w="492"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一、一般公共预算财政拨款</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655.23</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一、一般公共服务支出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33</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19.46</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19.46</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二、政府性基金预算财政拨款</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159.17</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二、外交支出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34</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三、国有资本经营财政拨款</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三、国防支出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35</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四、公共安全支出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36</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五、教育支出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37</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六、科学技术支出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38</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7</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七、文化旅游体育与传媒支出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39</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8</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八、社会保障和就业支出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40</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216.02</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56.86</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159.17</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9</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九、卫生健康支出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41</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12.44</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12.44</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10</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十、节能环保支出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42</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11</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十一、城乡社区支出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43</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12</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十二、农林水支出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44</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538.18</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538.18</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13</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十三、交通运输支出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45</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14</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十四、资源勘探工业信息等支出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46</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15</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十五、商业服务业等支出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47</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16</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十六、金融支出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48</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17</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十七、援助其他地区支出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49</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18</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十八、自然资源海洋气象等支出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50</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19</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十九、住房保障支出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51</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21.32</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21.32</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二十、粮油物资储备支出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52</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21</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二十一、国有资本经营预算支出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53</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22</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二十二、灾害防治及应急管理支出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54</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23</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二十三、其他支出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55</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24</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二十四、债务还本支出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56</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25</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二十五、债务付息支出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57</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26</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二十六、抗</w:t>
            </w:r>
            <w:proofErr w:type="gramStart"/>
            <w:r>
              <w:rPr>
                <w:rFonts w:ascii="Times New Roman" w:eastAsia="仿宋_GB2312" w:hAnsi="Times New Roman" w:cs="Times New Roman"/>
                <w:color w:val="000000"/>
                <w:kern w:val="0"/>
                <w:sz w:val="18"/>
                <w:szCs w:val="18"/>
              </w:rPr>
              <w:t>疫</w:t>
            </w:r>
            <w:proofErr w:type="gramEnd"/>
            <w:r>
              <w:rPr>
                <w:rFonts w:ascii="Times New Roman" w:eastAsia="仿宋_GB2312" w:hAnsi="Times New Roman" w:cs="Times New Roman"/>
                <w:color w:val="000000"/>
                <w:kern w:val="0"/>
                <w:sz w:val="18"/>
                <w:szCs w:val="18"/>
              </w:rPr>
              <w:t>特别国债安排的支出</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58</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本年收入合计</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27</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814.40</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本年支出合计</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59</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807.42</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648.26</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159.17</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年初财政拨款结转和结余</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28</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75.77</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年末财政拨款结转和结余</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60</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82.75</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82.75</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一般公共预算财政拨款</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29</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75.77</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61</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 xml:space="preserve">  </w:t>
            </w:r>
            <w:r>
              <w:rPr>
                <w:rFonts w:ascii="Times New Roman" w:eastAsia="仿宋_GB2312" w:hAnsi="Times New Roman" w:cs="Times New Roman"/>
                <w:color w:val="000000"/>
                <w:kern w:val="0"/>
                <w:sz w:val="18"/>
                <w:szCs w:val="18"/>
              </w:rPr>
              <w:t>政府性基金预算财政拨款</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30</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62</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r>
      <w:tr w:rsidR="00740256">
        <w:trPr>
          <w:gridAfter w:val="1"/>
          <w:wAfter w:w="4" w:type="pct"/>
          <w:trHeight w:val="6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国有资本经营预算财政拨款</w:t>
            </w:r>
          </w:p>
        </w:tc>
        <w:tc>
          <w:tcPr>
            <w:tcW w:w="33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31</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63</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　</w:t>
            </w:r>
          </w:p>
        </w:tc>
      </w:tr>
      <w:tr w:rsidR="00740256">
        <w:trPr>
          <w:gridAfter w:val="1"/>
          <w:wAfter w:w="4" w:type="pct"/>
          <w:trHeight w:val="310"/>
        </w:trPr>
        <w:tc>
          <w:tcPr>
            <w:tcW w:w="1073"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总计</w:t>
            </w:r>
          </w:p>
        </w:tc>
        <w:tc>
          <w:tcPr>
            <w:tcW w:w="331" w:type="pct"/>
            <w:tcBorders>
              <w:top w:val="nil"/>
              <w:left w:val="nil"/>
              <w:bottom w:val="single" w:sz="8"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32</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890.17</w:t>
            </w:r>
          </w:p>
        </w:tc>
        <w:tc>
          <w:tcPr>
            <w:tcW w:w="967"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b/>
                <w:bCs/>
                <w:color w:val="000000"/>
                <w:kern w:val="0"/>
                <w:sz w:val="18"/>
                <w:szCs w:val="18"/>
              </w:rPr>
            </w:pPr>
            <w:r>
              <w:rPr>
                <w:rFonts w:ascii="Times New Roman" w:eastAsia="仿宋_GB2312" w:hAnsi="Times New Roman" w:cs="Times New Roman"/>
                <w:b/>
                <w:bCs/>
                <w:color w:val="000000"/>
                <w:kern w:val="0"/>
                <w:sz w:val="18"/>
                <w:szCs w:val="18"/>
              </w:rPr>
              <w:t>总计</w:t>
            </w:r>
          </w:p>
        </w:tc>
        <w:tc>
          <w:tcPr>
            <w:tcW w:w="354"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3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64</w:t>
            </w:r>
          </w:p>
        </w:tc>
        <w:tc>
          <w:tcPr>
            <w:tcW w:w="44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890.17</w:t>
            </w:r>
          </w:p>
        </w:tc>
        <w:tc>
          <w:tcPr>
            <w:tcW w:w="492"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731.00</w:t>
            </w:r>
          </w:p>
        </w:tc>
        <w:tc>
          <w:tcPr>
            <w:tcW w:w="419"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159.17</w:t>
            </w:r>
          </w:p>
        </w:tc>
        <w:tc>
          <w:tcPr>
            <w:tcW w:w="49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300" w:lineRule="exact"/>
              <w:jc w:val="righ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0.00</w:t>
            </w:r>
          </w:p>
        </w:tc>
      </w:tr>
      <w:tr w:rsidR="00740256">
        <w:trPr>
          <w:gridAfter w:val="1"/>
          <w:wAfter w:w="4" w:type="pct"/>
          <w:trHeight w:val="620"/>
        </w:trPr>
        <w:tc>
          <w:tcPr>
            <w:tcW w:w="4502" w:type="pct"/>
            <w:gridSpan w:val="11"/>
            <w:tcBorders>
              <w:top w:val="nil"/>
              <w:left w:val="nil"/>
              <w:bottom w:val="nil"/>
              <w:right w:val="nil"/>
            </w:tcBorders>
            <w:shd w:val="clear" w:color="auto" w:fill="auto"/>
            <w:noWrap/>
            <w:vAlign w:val="center"/>
          </w:tcPr>
          <w:p w:rsidR="00740256" w:rsidRDefault="00F8504F">
            <w:pPr>
              <w:widowControl/>
              <w:adjustRightInd w:val="0"/>
              <w:snapToGrid w:val="0"/>
              <w:spacing w:line="3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注：本表反映部门本年度一般公共预算财政拨款、政府性基金预算财政拨款和国有资本经营预算财政拨款的总收支和年末结转结余情况。</w:t>
            </w:r>
          </w:p>
        </w:tc>
        <w:tc>
          <w:tcPr>
            <w:tcW w:w="492" w:type="pct"/>
            <w:gridSpan w:val="2"/>
            <w:tcBorders>
              <w:top w:val="nil"/>
              <w:left w:val="nil"/>
              <w:bottom w:val="nil"/>
              <w:right w:val="nil"/>
            </w:tcBorders>
            <w:shd w:val="clear" w:color="auto" w:fill="auto"/>
            <w:noWrap/>
            <w:vAlign w:val="center"/>
          </w:tcPr>
          <w:p w:rsidR="00740256" w:rsidRDefault="00740256">
            <w:pPr>
              <w:widowControl/>
              <w:adjustRightInd w:val="0"/>
              <w:snapToGrid w:val="0"/>
              <w:spacing w:line="300" w:lineRule="exact"/>
              <w:jc w:val="left"/>
              <w:rPr>
                <w:rFonts w:ascii="Times New Roman" w:eastAsia="仿宋_GB2312" w:hAnsi="Times New Roman" w:cs="Times New Roman"/>
                <w:color w:val="000000"/>
                <w:kern w:val="0"/>
                <w:sz w:val="18"/>
                <w:szCs w:val="18"/>
              </w:rPr>
            </w:pPr>
          </w:p>
        </w:tc>
      </w:tr>
      <w:tr w:rsidR="00740256">
        <w:trPr>
          <w:trHeight w:val="2184"/>
        </w:trPr>
        <w:tc>
          <w:tcPr>
            <w:tcW w:w="5000" w:type="pct"/>
            <w:gridSpan w:val="14"/>
            <w:tcBorders>
              <w:top w:val="nil"/>
              <w:lef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p w:rsidR="00740256" w:rsidRDefault="00F8504F">
            <w:pPr>
              <w:widowControl/>
              <w:jc w:val="center"/>
              <w:rPr>
                <w:rFonts w:ascii="宋体" w:eastAsia="宋体" w:hAnsi="宋体" w:cs="Arial"/>
                <w:color w:val="000000"/>
                <w:kern w:val="0"/>
                <w:sz w:val="30"/>
                <w:szCs w:val="30"/>
              </w:rPr>
            </w:pPr>
            <w:r>
              <w:rPr>
                <w:rFonts w:ascii="宋体" w:eastAsia="宋体" w:hAnsi="宋体" w:cs="Arial" w:hint="eastAsia"/>
                <w:color w:val="000000"/>
                <w:kern w:val="0"/>
                <w:sz w:val="30"/>
                <w:szCs w:val="30"/>
              </w:rPr>
              <w:t>一般公共预算财政拨款支出决算表</w:t>
            </w:r>
          </w:p>
          <w:p w:rsidR="00740256" w:rsidRDefault="00F8504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公开05表</w:t>
            </w:r>
          </w:p>
          <w:p w:rsidR="00740256" w:rsidRDefault="00740256">
            <w:pPr>
              <w:widowControl/>
              <w:jc w:val="left"/>
              <w:rPr>
                <w:rFonts w:ascii="宋体" w:eastAsia="宋体" w:hAnsi="宋体" w:cs="Arial"/>
                <w:color w:val="000000"/>
                <w:kern w:val="0"/>
                <w:sz w:val="20"/>
                <w:szCs w:val="20"/>
              </w:rPr>
            </w:pPr>
          </w:p>
          <w:p w:rsidR="00740256" w:rsidRDefault="00740256">
            <w:pPr>
              <w:widowControl/>
              <w:jc w:val="left"/>
              <w:rPr>
                <w:rFonts w:ascii="宋体" w:eastAsia="宋体" w:hAnsi="宋体" w:cs="Arial"/>
                <w:color w:val="000000"/>
                <w:kern w:val="0"/>
                <w:sz w:val="20"/>
                <w:szCs w:val="20"/>
              </w:rPr>
            </w:pPr>
          </w:p>
          <w:p w:rsidR="00740256" w:rsidRDefault="00F8504F">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部门：湖南省湘西自治州库区移民事务中心</w:t>
            </w:r>
          </w:p>
          <w:p w:rsidR="00740256" w:rsidRDefault="00F8504F">
            <w:pPr>
              <w:jc w:val="right"/>
              <w:rPr>
                <w:rFonts w:ascii="Arial" w:eastAsia="宋体" w:hAnsi="Arial" w:cs="Arial"/>
                <w:color w:val="000000"/>
                <w:kern w:val="0"/>
                <w:sz w:val="20"/>
                <w:szCs w:val="20"/>
              </w:rPr>
            </w:pPr>
            <w:r>
              <w:rPr>
                <w:rFonts w:ascii="仿宋_GB2312" w:eastAsia="仿宋_GB2312" w:hAnsi="仿宋_GB2312" w:cs="仿宋_GB2312" w:hint="eastAsia"/>
                <w:color w:val="000000"/>
                <w:kern w:val="0"/>
                <w:sz w:val="20"/>
                <w:szCs w:val="20"/>
              </w:rPr>
              <w:t>金额单位：万元</w:t>
            </w:r>
          </w:p>
        </w:tc>
      </w:tr>
      <w:tr w:rsidR="00740256">
        <w:trPr>
          <w:trHeight w:val="308"/>
        </w:trPr>
        <w:tc>
          <w:tcPr>
            <w:tcW w:w="3015" w:type="pct"/>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w:t>
            </w:r>
          </w:p>
        </w:tc>
        <w:tc>
          <w:tcPr>
            <w:tcW w:w="1984" w:type="pct"/>
            <w:gridSpan w:val="8"/>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本年支出</w:t>
            </w:r>
          </w:p>
        </w:tc>
      </w:tr>
      <w:tr w:rsidR="00740256">
        <w:trPr>
          <w:trHeight w:val="312"/>
        </w:trPr>
        <w:tc>
          <w:tcPr>
            <w:tcW w:w="530" w:type="pct"/>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功能分类科目编码</w:t>
            </w:r>
          </w:p>
        </w:tc>
        <w:tc>
          <w:tcPr>
            <w:tcW w:w="2484" w:type="pct"/>
            <w:gridSpan w:val="5"/>
            <w:vMerge w:val="restar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1099" w:type="pct"/>
            <w:gridSpan w:val="4"/>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小计</w:t>
            </w:r>
          </w:p>
        </w:tc>
        <w:tc>
          <w:tcPr>
            <w:tcW w:w="441"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基本支出</w:t>
            </w:r>
          </w:p>
        </w:tc>
        <w:tc>
          <w:tcPr>
            <w:tcW w:w="442"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项目支出</w:t>
            </w:r>
          </w:p>
        </w:tc>
      </w:tr>
      <w:tr w:rsidR="00740256">
        <w:trPr>
          <w:trHeight w:val="312"/>
        </w:trPr>
        <w:tc>
          <w:tcPr>
            <w:tcW w:w="530" w:type="pct"/>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2484" w:type="pct"/>
            <w:gridSpan w:val="5"/>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99" w:type="pct"/>
            <w:gridSpan w:val="4"/>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41"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42"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12"/>
        </w:trPr>
        <w:tc>
          <w:tcPr>
            <w:tcW w:w="530" w:type="pct"/>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2484" w:type="pct"/>
            <w:gridSpan w:val="5"/>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99" w:type="pct"/>
            <w:gridSpan w:val="4"/>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41"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42"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08"/>
        </w:trPr>
        <w:tc>
          <w:tcPr>
            <w:tcW w:w="3015" w:type="pct"/>
            <w:gridSpan w:val="6"/>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栏次</w:t>
            </w:r>
          </w:p>
        </w:tc>
        <w:tc>
          <w:tcPr>
            <w:tcW w:w="1099" w:type="pct"/>
            <w:gridSpan w:val="4"/>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441"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442"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r>
      <w:tr w:rsidR="00740256">
        <w:trPr>
          <w:trHeight w:val="308"/>
        </w:trPr>
        <w:tc>
          <w:tcPr>
            <w:tcW w:w="3015" w:type="pct"/>
            <w:gridSpan w:val="6"/>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648.26</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435.81</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212.45</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一般公共服务支出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19.46</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19.46</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20103</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政府办公厅（室）及相关机构事务</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2010399</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其他政府办公厅（室）及相关机构事务支出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20104</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发展与改革事务</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2010499</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其他发展与改革事务支出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12.16</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20199</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其他一般公共服务支出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2019999</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其他一般公共服务支出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2.30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社会保障和就业支出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56.86</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56.86</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人力资源和社会保障管理事务</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2080109</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社会保险经办机构</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1.19</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行政事业单位养老支出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55.67</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55.67</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行政单位离退休</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27.24</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27.24</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2080505</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机关事业单位基本养老保险缴费支出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28.43</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28.43</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卫生健康支出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21011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行政事业单位医疗</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2101101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行政单位医疗</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12.44</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农林水支出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538.18</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345.19</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192.99</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农业农村</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2130101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行政运行</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4.25</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水利</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533.93</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340.94</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192.99</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行政运行</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314.94</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314.94</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2130302</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一般行政管理事务</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68.10</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68.10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2130303</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机关服务</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26.31</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26.31</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2130321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大中型水库移民后期扶持专项支出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78.59</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78.59</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2130399</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其他水利支出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46.00</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26.00</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住房保障支出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22102</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住房改革支出</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30" w:type="pct"/>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2210201</w:t>
            </w:r>
          </w:p>
        </w:tc>
        <w:tc>
          <w:tcPr>
            <w:tcW w:w="2484"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住房公积金</w:t>
            </w:r>
          </w:p>
        </w:tc>
        <w:tc>
          <w:tcPr>
            <w:tcW w:w="1099" w:type="pct"/>
            <w:gridSpan w:val="4"/>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4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21.32</w:t>
            </w:r>
          </w:p>
        </w:tc>
        <w:tc>
          <w:tcPr>
            <w:tcW w:w="4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5000" w:type="pct"/>
            <w:gridSpan w:val="14"/>
            <w:tcBorders>
              <w:top w:val="nil"/>
              <w:left w:val="nil"/>
              <w:bottom w:val="nil"/>
              <w:right w:val="nil"/>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注：本表反映部门本年度一般公共预算财政拨款支出情况。</w:t>
            </w:r>
          </w:p>
        </w:tc>
      </w:tr>
    </w:tbl>
    <w:p w:rsidR="00740256" w:rsidRDefault="00740256">
      <w:pPr>
        <w:jc w:val="left"/>
        <w:rPr>
          <w:rFonts w:asciiTheme="minorEastAsia" w:hAnsiTheme="minorEastAsia"/>
          <w:sz w:val="32"/>
          <w:szCs w:val="32"/>
        </w:rPr>
        <w:sectPr w:rsidR="00740256">
          <w:footerReference w:type="default" r:id="rId9"/>
          <w:pgSz w:w="16838" w:h="11906" w:orient="landscape"/>
          <w:pgMar w:top="1531" w:right="1417" w:bottom="1531" w:left="1417" w:header="851" w:footer="992" w:gutter="0"/>
          <w:pgNumType w:fmt="numberInDash"/>
          <w:cols w:space="425"/>
          <w:docGrid w:type="lines" w:linePitch="312"/>
        </w:sectPr>
      </w:pPr>
    </w:p>
    <w:tbl>
      <w:tblPr>
        <w:tblW w:w="5000" w:type="pct"/>
        <w:tblLayout w:type="fixed"/>
        <w:tblLook w:val="04A0" w:firstRow="1" w:lastRow="0" w:firstColumn="1" w:lastColumn="0" w:noHBand="0" w:noVBand="1"/>
      </w:tblPr>
      <w:tblGrid>
        <w:gridCol w:w="1289"/>
        <w:gridCol w:w="1923"/>
        <w:gridCol w:w="1310"/>
        <w:gridCol w:w="1324"/>
        <w:gridCol w:w="1906"/>
        <w:gridCol w:w="1173"/>
        <w:gridCol w:w="1220"/>
        <w:gridCol w:w="2714"/>
        <w:gridCol w:w="1133"/>
      </w:tblGrid>
      <w:tr w:rsidR="00740256">
        <w:trPr>
          <w:trHeight w:val="390"/>
        </w:trPr>
        <w:tc>
          <w:tcPr>
            <w:tcW w:w="461"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686"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3851" w:type="pct"/>
            <w:gridSpan w:val="7"/>
            <w:vMerge w:val="restart"/>
            <w:tcBorders>
              <w:top w:val="nil"/>
              <w:left w:val="nil"/>
              <w:right w:val="nil"/>
            </w:tcBorders>
            <w:shd w:val="clear" w:color="auto" w:fill="auto"/>
            <w:noWrap/>
            <w:vAlign w:val="bottom"/>
          </w:tcPr>
          <w:p w:rsidR="00740256" w:rsidRPr="00002BCE" w:rsidRDefault="00F8504F">
            <w:pPr>
              <w:widowControl/>
              <w:jc w:val="center"/>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t>一般公共预算财政拨款基本支出决算表</w:t>
            </w:r>
          </w:p>
          <w:p w:rsidR="00740256" w:rsidRDefault="00F8504F">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公开06表</w:t>
            </w:r>
          </w:p>
          <w:p w:rsidR="00740256" w:rsidRDefault="00F8504F">
            <w:pPr>
              <w:jc w:val="right"/>
              <w:rPr>
                <w:rFonts w:ascii="Arial" w:eastAsia="宋体" w:hAnsi="Arial" w:cs="Arial"/>
                <w:color w:val="000000"/>
                <w:kern w:val="0"/>
                <w:sz w:val="20"/>
                <w:szCs w:val="20"/>
              </w:rPr>
            </w:pPr>
            <w:r>
              <w:rPr>
                <w:rFonts w:ascii="宋体" w:eastAsia="宋体" w:hAnsi="宋体" w:cs="Arial" w:hint="eastAsia"/>
                <w:color w:val="000000"/>
                <w:kern w:val="0"/>
                <w:sz w:val="18"/>
                <w:szCs w:val="18"/>
              </w:rPr>
              <w:t>金额单位：万元</w:t>
            </w:r>
          </w:p>
        </w:tc>
      </w:tr>
      <w:tr w:rsidR="00740256">
        <w:trPr>
          <w:trHeight w:val="255"/>
        </w:trPr>
        <w:tc>
          <w:tcPr>
            <w:tcW w:w="461"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686"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3851" w:type="pct"/>
            <w:gridSpan w:val="7"/>
            <w:vMerge/>
            <w:tcBorders>
              <w:left w:val="nil"/>
              <w:right w:val="nil"/>
            </w:tcBorders>
            <w:shd w:val="clear" w:color="auto" w:fill="auto"/>
            <w:noWrap/>
            <w:vAlign w:val="bottom"/>
          </w:tcPr>
          <w:p w:rsidR="00740256" w:rsidRDefault="00740256">
            <w:pPr>
              <w:jc w:val="right"/>
              <w:rPr>
                <w:rFonts w:ascii="宋体" w:eastAsia="宋体" w:hAnsi="宋体" w:cs="Arial"/>
                <w:color w:val="000000"/>
                <w:kern w:val="0"/>
                <w:sz w:val="18"/>
                <w:szCs w:val="18"/>
              </w:rPr>
            </w:pPr>
          </w:p>
        </w:tc>
      </w:tr>
      <w:tr w:rsidR="00740256">
        <w:trPr>
          <w:trHeight w:val="255"/>
        </w:trPr>
        <w:tc>
          <w:tcPr>
            <w:tcW w:w="1148" w:type="pct"/>
            <w:gridSpan w:val="2"/>
            <w:tcBorders>
              <w:top w:val="nil"/>
              <w:left w:val="nil"/>
              <w:bottom w:val="nil"/>
              <w:right w:val="nil"/>
            </w:tcBorders>
            <w:shd w:val="clear" w:color="auto" w:fill="auto"/>
            <w:noWrap/>
            <w:vAlign w:val="bottom"/>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部门：湖南省湘西自治州库区移民事务中心</w:t>
            </w:r>
          </w:p>
        </w:tc>
        <w:tc>
          <w:tcPr>
            <w:tcW w:w="3851" w:type="pct"/>
            <w:gridSpan w:val="7"/>
            <w:vMerge/>
            <w:tcBorders>
              <w:left w:val="nil"/>
              <w:bottom w:val="nil"/>
              <w:right w:val="nil"/>
            </w:tcBorders>
            <w:shd w:val="clear" w:color="auto" w:fill="auto"/>
            <w:noWrap/>
            <w:vAlign w:val="bottom"/>
          </w:tcPr>
          <w:p w:rsidR="00740256" w:rsidRDefault="00740256">
            <w:pPr>
              <w:widowControl/>
              <w:jc w:val="right"/>
              <w:rPr>
                <w:rFonts w:ascii="Times New Roman" w:eastAsia="仿宋_GB2312" w:hAnsi="Times New Roman" w:cs="Times New Roman"/>
                <w:color w:val="000000"/>
                <w:kern w:val="0"/>
                <w:sz w:val="22"/>
              </w:rPr>
            </w:pPr>
          </w:p>
        </w:tc>
      </w:tr>
      <w:tr w:rsidR="00740256">
        <w:trPr>
          <w:trHeight w:val="308"/>
        </w:trPr>
        <w:tc>
          <w:tcPr>
            <w:tcW w:w="1616"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人员经费</w:t>
            </w:r>
          </w:p>
        </w:tc>
        <w:tc>
          <w:tcPr>
            <w:tcW w:w="3383" w:type="pct"/>
            <w:gridSpan w:val="6"/>
            <w:tcBorders>
              <w:top w:val="single" w:sz="4" w:space="0" w:color="000000"/>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公用经费</w:t>
            </w:r>
          </w:p>
        </w:tc>
      </w:tr>
      <w:tr w:rsidR="00740256">
        <w:trPr>
          <w:trHeight w:val="312"/>
        </w:trPr>
        <w:tc>
          <w:tcPr>
            <w:tcW w:w="461" w:type="pct"/>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科目编码</w:t>
            </w:r>
          </w:p>
        </w:tc>
        <w:tc>
          <w:tcPr>
            <w:tcW w:w="686"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468"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决算数</w:t>
            </w:r>
          </w:p>
        </w:tc>
        <w:tc>
          <w:tcPr>
            <w:tcW w:w="473"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科目编码</w:t>
            </w:r>
          </w:p>
        </w:tc>
        <w:tc>
          <w:tcPr>
            <w:tcW w:w="681"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419"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决算数</w:t>
            </w:r>
          </w:p>
        </w:tc>
        <w:tc>
          <w:tcPr>
            <w:tcW w:w="436"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科目编码</w:t>
            </w:r>
          </w:p>
        </w:tc>
        <w:tc>
          <w:tcPr>
            <w:tcW w:w="968"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403"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adjustRightInd w:val="0"/>
              <w:snapToGrid w:val="0"/>
              <w:spacing w:line="260" w:lineRule="exact"/>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决算数</w:t>
            </w:r>
          </w:p>
        </w:tc>
      </w:tr>
      <w:tr w:rsidR="00740256">
        <w:trPr>
          <w:trHeight w:val="312"/>
        </w:trPr>
        <w:tc>
          <w:tcPr>
            <w:tcW w:w="461" w:type="pct"/>
            <w:vMerge/>
            <w:tcBorders>
              <w:top w:val="nil"/>
              <w:left w:val="single" w:sz="4" w:space="0" w:color="000000"/>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686"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468"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473"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681"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419"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436"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968"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c>
          <w:tcPr>
            <w:tcW w:w="403" w:type="pct"/>
            <w:vMerge/>
            <w:tcBorders>
              <w:top w:val="nil"/>
              <w:left w:val="nil"/>
              <w:bottom w:val="single" w:sz="4" w:space="0" w:color="000000"/>
              <w:right w:val="single" w:sz="4" w:space="0" w:color="000000"/>
            </w:tcBorders>
            <w:vAlign w:val="center"/>
          </w:tcPr>
          <w:p w:rsidR="00740256" w:rsidRDefault="00740256">
            <w:pPr>
              <w:widowControl/>
              <w:adjustRightInd w:val="0"/>
              <w:snapToGrid w:val="0"/>
              <w:spacing w:line="260" w:lineRule="exact"/>
              <w:jc w:val="left"/>
              <w:rPr>
                <w:rFonts w:ascii="Times New Roman" w:eastAsia="仿宋_GB2312" w:hAnsi="Times New Roman" w:cs="Times New Roman"/>
                <w:color w:val="000000"/>
                <w:kern w:val="0"/>
                <w:sz w:val="22"/>
              </w:rPr>
            </w:pP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工资福利支出</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282.95</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商品和服务支出</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56.59</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307</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债务利息及费用支出</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30101</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基本工资</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126.39</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30201</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办公费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6.82</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30701</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国内债务付息</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30102</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津贴补贴</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55.43</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30202</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印刷费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30702</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国外债务付息</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30103</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奖金</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8.50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30203</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咨询费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资本性支出</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30106</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伙食补助费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30204</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手续费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31001</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房屋建筑物购建</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30107</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绩效工资</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30205</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水费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0.08</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31002</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办公设备购置</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30108</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机关事业单位基本养老保险缴费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26.70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30206</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电费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0.91</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31003</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专用设备购置</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30109</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职业年金缴费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30207</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邮电费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31005</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基础设施建设</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30110</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职工基本医疗保险缴费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15.81</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30208</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取暖费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31006</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大型修缮</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30111</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公务员医疗补助缴费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15.25</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30209</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物业管理费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31007</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信息网络及软件购置更新</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30112</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其他社会保障缴费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0.99</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30211</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差旅费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1.18</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31008</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物资储备</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30113</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住房公积金</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33.87</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30212</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因公出国（境）费用</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31009</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土地补偿</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30114</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医疗费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30213</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维修（护）费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31010</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安置补助</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30199</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其他工资福利支出</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30214</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租赁费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31011</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地上附着物和青苗补偿</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对个人和家庭的补助</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96.27</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30215</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会议费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31012</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拆迁补偿</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30301</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离休费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30216</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培训费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0.38</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31013</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公务用车购置</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30302</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退休费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30217</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公务接待费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0.06</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31019</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其他交通工具购置</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30303</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退职（役）费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30218</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专用材料费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31021</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文物和陈列品购置</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30304</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抚恤金</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30224</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被装购置费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31022</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无形资产购置</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30305</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生活补助</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30225</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专用燃料费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31099</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其他资本性支出</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30306</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救济费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30226</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劳务费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15.84</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399</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其他支出</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30307</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医疗费补助</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3.51</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30227</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委托业务费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39906</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赠与</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30308</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助学金</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30228</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工会经费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13.89</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39907</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国家赔偿费用支出</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30309</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奖励金</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91.66</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30229</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福利费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15.49</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39908</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对民间非营利组织和群众性自治组织补贴</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30310</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个人农业生产补贴</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30231</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公务用车运行维护费</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1.80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39999</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其他支出</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30311</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代缴社会保险费</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30239</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其他交通费用</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30399</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其他对个人和家庭的补助</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1.10</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30240</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税金及附加费用</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trHeight w:val="308"/>
        </w:trPr>
        <w:tc>
          <w:tcPr>
            <w:tcW w:w="461" w:type="pct"/>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68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73"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30299</w:t>
            </w:r>
          </w:p>
        </w:tc>
        <w:tc>
          <w:tcPr>
            <w:tcW w:w="681"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其他商品和服务支出</w:t>
            </w:r>
          </w:p>
        </w:tc>
        <w:tc>
          <w:tcPr>
            <w:tcW w:w="419"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0.13</w:t>
            </w:r>
          </w:p>
        </w:tc>
        <w:tc>
          <w:tcPr>
            <w:tcW w:w="436"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968" w:type="pct"/>
            <w:tcBorders>
              <w:top w:val="nil"/>
              <w:left w:val="nil"/>
              <w:bottom w:val="single" w:sz="4" w:space="0" w:color="000000"/>
              <w:right w:val="single" w:sz="4" w:space="0" w:color="000000"/>
            </w:tcBorders>
            <w:shd w:val="clear" w:color="FFFFFF" w:fill="C0C0C0"/>
            <w:noWrap/>
            <w:vAlign w:val="center"/>
          </w:tcPr>
          <w:p w:rsidR="00740256" w:rsidRDefault="00F8504F">
            <w:pPr>
              <w:widowControl/>
              <w:adjustRightInd w:val="0"/>
              <w:snapToGrid w:val="0"/>
              <w:spacing w:line="260" w:lineRule="exact"/>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adjustRightInd w:val="0"/>
              <w:snapToGrid w:val="0"/>
              <w:spacing w:line="260" w:lineRule="exact"/>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trHeight w:val="308"/>
        </w:trPr>
        <w:tc>
          <w:tcPr>
            <w:tcW w:w="1148" w:type="pct"/>
            <w:gridSpan w:val="2"/>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人员经费合计</w:t>
            </w:r>
          </w:p>
        </w:tc>
        <w:tc>
          <w:tcPr>
            <w:tcW w:w="468"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379.22</w:t>
            </w:r>
          </w:p>
        </w:tc>
        <w:tc>
          <w:tcPr>
            <w:tcW w:w="2979" w:type="pct"/>
            <w:gridSpan w:val="5"/>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公用经费合计</w:t>
            </w:r>
          </w:p>
        </w:tc>
        <w:tc>
          <w:tcPr>
            <w:tcW w:w="403"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56.59</w:t>
            </w:r>
          </w:p>
        </w:tc>
      </w:tr>
      <w:tr w:rsidR="00740256">
        <w:trPr>
          <w:trHeight w:val="308"/>
        </w:trPr>
        <w:tc>
          <w:tcPr>
            <w:tcW w:w="5000" w:type="pct"/>
            <w:gridSpan w:val="9"/>
            <w:tcBorders>
              <w:top w:val="nil"/>
              <w:left w:val="nil"/>
              <w:bottom w:val="nil"/>
              <w:right w:val="nil"/>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注：本表反映部门本年度一般公共预算财政拨款基本支出明细情况。</w:t>
            </w:r>
          </w:p>
        </w:tc>
      </w:tr>
    </w:tbl>
    <w:p w:rsidR="00740256" w:rsidRDefault="00740256">
      <w:pPr>
        <w:pStyle w:val="Default"/>
        <w:rPr>
          <w:rFonts w:ascii="Times New Roman" w:eastAsia="仿宋_GB2312" w:hAnsi="Times New Roman" w:cs="Times New Roman"/>
          <w:sz w:val="22"/>
          <w:szCs w:val="22"/>
        </w:rPr>
      </w:pPr>
    </w:p>
    <w:p w:rsidR="00740256" w:rsidRDefault="00740256">
      <w:pPr>
        <w:pStyle w:val="Default"/>
        <w:rPr>
          <w:rFonts w:ascii="Times New Roman" w:eastAsia="仿宋_GB2312" w:hAnsi="Times New Roman" w:cs="Times New Roman"/>
          <w:sz w:val="22"/>
          <w:szCs w:val="22"/>
        </w:rPr>
      </w:pPr>
    </w:p>
    <w:p w:rsidR="00740256" w:rsidRDefault="00740256">
      <w:pPr>
        <w:pStyle w:val="Default"/>
        <w:rPr>
          <w:rFonts w:ascii="Times New Roman" w:eastAsia="仿宋_GB2312" w:hAnsi="Times New Roman" w:cs="Times New Roman"/>
          <w:sz w:val="22"/>
          <w:szCs w:val="22"/>
        </w:rPr>
      </w:pPr>
    </w:p>
    <w:p w:rsidR="00740256" w:rsidRDefault="00740256">
      <w:pPr>
        <w:pStyle w:val="Default"/>
        <w:rPr>
          <w:rFonts w:ascii="Times New Roman" w:eastAsia="仿宋_GB2312" w:hAnsi="Times New Roman" w:cs="Times New Roman"/>
          <w:sz w:val="22"/>
          <w:szCs w:val="22"/>
        </w:rPr>
      </w:pPr>
    </w:p>
    <w:p w:rsidR="00740256" w:rsidRDefault="00740256">
      <w:pPr>
        <w:pStyle w:val="Default"/>
        <w:rPr>
          <w:rFonts w:ascii="Times New Roman" w:eastAsia="仿宋_GB2312" w:hAnsi="Times New Roman" w:cs="Times New Roman"/>
          <w:sz w:val="22"/>
          <w:szCs w:val="22"/>
        </w:rPr>
      </w:pPr>
    </w:p>
    <w:p w:rsidR="00740256" w:rsidRDefault="00740256">
      <w:pPr>
        <w:pStyle w:val="Default"/>
        <w:rPr>
          <w:rFonts w:ascii="Times New Roman" w:eastAsia="仿宋_GB2312" w:hAnsi="Times New Roman" w:cs="Times New Roman"/>
          <w:sz w:val="22"/>
          <w:szCs w:val="22"/>
        </w:rPr>
      </w:pPr>
    </w:p>
    <w:p w:rsidR="00740256" w:rsidRDefault="00740256">
      <w:pPr>
        <w:pStyle w:val="Default"/>
        <w:rPr>
          <w:rFonts w:ascii="Times New Roman" w:eastAsia="仿宋_GB2312" w:hAnsi="Times New Roman" w:cs="Times New Roman"/>
          <w:sz w:val="22"/>
          <w:szCs w:val="22"/>
        </w:rPr>
      </w:pPr>
    </w:p>
    <w:p w:rsidR="00740256" w:rsidRDefault="00740256">
      <w:pPr>
        <w:pStyle w:val="Default"/>
        <w:rPr>
          <w:rFonts w:ascii="Times New Roman" w:eastAsia="仿宋_GB2312" w:hAnsi="Times New Roman" w:cs="Times New Roman"/>
          <w:sz w:val="22"/>
          <w:szCs w:val="22"/>
        </w:rPr>
      </w:pPr>
    </w:p>
    <w:tbl>
      <w:tblPr>
        <w:tblpPr w:leftFromText="180" w:rightFromText="180" w:vertAnchor="text" w:horzAnchor="page" w:tblpX="1721" w:tblpY="341"/>
        <w:tblOverlap w:val="never"/>
        <w:tblW w:w="4842" w:type="pct"/>
        <w:tblLayout w:type="fixed"/>
        <w:tblLook w:val="04A0" w:firstRow="1" w:lastRow="0" w:firstColumn="1" w:lastColumn="0" w:noHBand="0" w:noVBand="1"/>
      </w:tblPr>
      <w:tblGrid>
        <w:gridCol w:w="126"/>
        <w:gridCol w:w="220"/>
        <w:gridCol w:w="179"/>
        <w:gridCol w:w="352"/>
        <w:gridCol w:w="252"/>
        <w:gridCol w:w="160"/>
        <w:gridCol w:w="190"/>
        <w:gridCol w:w="775"/>
        <w:gridCol w:w="759"/>
        <w:gridCol w:w="1144"/>
        <w:gridCol w:w="1111"/>
        <w:gridCol w:w="157"/>
        <w:gridCol w:w="783"/>
        <w:gridCol w:w="51"/>
        <w:gridCol w:w="894"/>
        <w:gridCol w:w="274"/>
        <w:gridCol w:w="886"/>
        <w:gridCol w:w="268"/>
        <w:gridCol w:w="881"/>
        <w:gridCol w:w="287"/>
        <w:gridCol w:w="732"/>
        <w:gridCol w:w="154"/>
        <w:gridCol w:w="268"/>
        <w:gridCol w:w="962"/>
        <w:gridCol w:w="509"/>
        <w:gridCol w:w="946"/>
        <w:gridCol w:w="230"/>
      </w:tblGrid>
      <w:tr w:rsidR="00740256">
        <w:trPr>
          <w:trHeight w:val="1872"/>
        </w:trPr>
        <w:tc>
          <w:tcPr>
            <w:tcW w:w="5000" w:type="pct"/>
            <w:gridSpan w:val="27"/>
            <w:tcBorders>
              <w:top w:val="nil"/>
              <w:left w:val="nil"/>
            </w:tcBorders>
            <w:shd w:val="clear" w:color="auto" w:fill="auto"/>
            <w:noWrap/>
            <w:vAlign w:val="bottom"/>
          </w:tcPr>
          <w:p w:rsidR="00740256" w:rsidRPr="00002BCE" w:rsidRDefault="00F8504F">
            <w:pPr>
              <w:widowControl/>
              <w:jc w:val="center"/>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lastRenderedPageBreak/>
              <w:t>一般公共预算财政拨款“三公”经费支出决算表</w:t>
            </w:r>
          </w:p>
          <w:p w:rsidR="00740256" w:rsidRDefault="00F8504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公开07表</w:t>
            </w:r>
          </w:p>
          <w:p w:rsidR="00740256" w:rsidRDefault="00F8504F">
            <w:pPr>
              <w:jc w:val="right"/>
              <w:rPr>
                <w:rFonts w:ascii="Arial" w:eastAsia="宋体" w:hAnsi="Arial" w:cs="Arial"/>
                <w:color w:val="000000"/>
                <w:kern w:val="0"/>
                <w:sz w:val="20"/>
                <w:szCs w:val="20"/>
              </w:rPr>
            </w:pPr>
            <w:r>
              <w:rPr>
                <w:rFonts w:ascii="宋体" w:eastAsia="宋体" w:hAnsi="宋体" w:cs="Arial" w:hint="eastAsia"/>
                <w:color w:val="000000"/>
                <w:kern w:val="0"/>
                <w:sz w:val="20"/>
                <w:szCs w:val="20"/>
              </w:rPr>
              <w:t>金额单位：万元</w:t>
            </w:r>
          </w:p>
          <w:p w:rsidR="00740256" w:rsidRDefault="00F8504F">
            <w:pPr>
              <w:ind w:right="400"/>
              <w:rPr>
                <w:rFonts w:ascii="Arial" w:eastAsia="宋体" w:hAnsi="Arial" w:cs="Arial"/>
                <w:color w:val="000000"/>
                <w:kern w:val="0"/>
                <w:sz w:val="20"/>
                <w:szCs w:val="20"/>
              </w:rPr>
            </w:pPr>
            <w:r>
              <w:rPr>
                <w:rFonts w:ascii="宋体" w:eastAsia="宋体" w:hAnsi="宋体" w:cs="Arial" w:hint="eastAsia"/>
                <w:color w:val="000000"/>
                <w:kern w:val="0"/>
                <w:sz w:val="20"/>
                <w:szCs w:val="20"/>
              </w:rPr>
              <w:t>部门：湖南省湘西自治州库区移民事务中心</w:t>
            </w:r>
          </w:p>
        </w:tc>
      </w:tr>
      <w:tr w:rsidR="00740256">
        <w:trPr>
          <w:trHeight w:val="308"/>
        </w:trPr>
        <w:tc>
          <w:tcPr>
            <w:tcW w:w="2309" w:type="pct"/>
            <w:gridSpan w:val="14"/>
            <w:tcBorders>
              <w:top w:val="single" w:sz="4" w:space="0" w:color="000000"/>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预算数</w:t>
            </w:r>
          </w:p>
        </w:tc>
        <w:tc>
          <w:tcPr>
            <w:tcW w:w="2690" w:type="pct"/>
            <w:gridSpan w:val="13"/>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决算数</w:t>
            </w:r>
          </w:p>
        </w:tc>
      </w:tr>
      <w:tr w:rsidR="00740256">
        <w:trPr>
          <w:trHeight w:val="308"/>
        </w:trPr>
        <w:tc>
          <w:tcPr>
            <w:tcW w:w="416" w:type="pct"/>
            <w:gridSpan w:val="5"/>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415" w:type="pct"/>
            <w:gridSpan w:val="3"/>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因公出国（境）费</w:t>
            </w:r>
          </w:p>
        </w:tc>
        <w:tc>
          <w:tcPr>
            <w:tcW w:w="1112" w:type="pct"/>
            <w:gridSpan w:val="3"/>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公务用车购置及运行费</w:t>
            </w:r>
          </w:p>
        </w:tc>
        <w:tc>
          <w:tcPr>
            <w:tcW w:w="365" w:type="pct"/>
            <w:gridSpan w:val="3"/>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公务接待费</w:t>
            </w:r>
          </w:p>
        </w:tc>
        <w:tc>
          <w:tcPr>
            <w:tcW w:w="330" w:type="pct"/>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428"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因公出国（境）费</w:t>
            </w:r>
          </w:p>
        </w:tc>
        <w:tc>
          <w:tcPr>
            <w:tcW w:w="1311" w:type="pct"/>
            <w:gridSpan w:val="7"/>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公务用车购置及运行费</w:t>
            </w:r>
          </w:p>
        </w:tc>
        <w:tc>
          <w:tcPr>
            <w:tcW w:w="619" w:type="pct"/>
            <w:gridSpan w:val="3"/>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公务接待费</w:t>
            </w:r>
          </w:p>
        </w:tc>
      </w:tr>
      <w:tr w:rsidR="00740256">
        <w:trPr>
          <w:trHeight w:val="615"/>
        </w:trPr>
        <w:tc>
          <w:tcPr>
            <w:tcW w:w="416" w:type="pct"/>
            <w:gridSpan w:val="5"/>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15" w:type="pct"/>
            <w:gridSpan w:val="3"/>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280"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小计</w:t>
            </w:r>
          </w:p>
        </w:tc>
        <w:tc>
          <w:tcPr>
            <w:tcW w:w="422"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公务用车购置费</w:t>
            </w:r>
          </w:p>
        </w:tc>
        <w:tc>
          <w:tcPr>
            <w:tcW w:w="409"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公务用车运行费</w:t>
            </w:r>
          </w:p>
        </w:tc>
        <w:tc>
          <w:tcPr>
            <w:tcW w:w="365" w:type="pct"/>
            <w:gridSpan w:val="3"/>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30" w:type="pct"/>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28"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23" w:type="pct"/>
            <w:gridSpan w:val="2"/>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小计</w:t>
            </w:r>
          </w:p>
        </w:tc>
        <w:tc>
          <w:tcPr>
            <w:tcW w:w="433" w:type="pct"/>
            <w:gridSpan w:val="3"/>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公务用车购置费</w:t>
            </w:r>
          </w:p>
        </w:tc>
        <w:tc>
          <w:tcPr>
            <w:tcW w:w="453" w:type="pct"/>
            <w:gridSpan w:val="2"/>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公务用车运行费</w:t>
            </w:r>
          </w:p>
        </w:tc>
        <w:tc>
          <w:tcPr>
            <w:tcW w:w="619" w:type="pct"/>
            <w:gridSpan w:val="3"/>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trHeight w:val="308"/>
        </w:trPr>
        <w:tc>
          <w:tcPr>
            <w:tcW w:w="416" w:type="pct"/>
            <w:gridSpan w:val="5"/>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415" w:type="pct"/>
            <w:gridSpan w:val="3"/>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280"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c>
          <w:tcPr>
            <w:tcW w:w="422"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p>
        </w:tc>
        <w:tc>
          <w:tcPr>
            <w:tcW w:w="409"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p>
        </w:tc>
        <w:tc>
          <w:tcPr>
            <w:tcW w:w="365" w:type="pct"/>
            <w:gridSpan w:val="3"/>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w:t>
            </w:r>
          </w:p>
        </w:tc>
        <w:tc>
          <w:tcPr>
            <w:tcW w:w="330" w:type="pc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w:t>
            </w:r>
          </w:p>
        </w:tc>
        <w:tc>
          <w:tcPr>
            <w:tcW w:w="428" w:type="pct"/>
            <w:gridSpan w:val="2"/>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8</w:t>
            </w:r>
          </w:p>
        </w:tc>
        <w:tc>
          <w:tcPr>
            <w:tcW w:w="423" w:type="pct"/>
            <w:gridSpan w:val="2"/>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9</w:t>
            </w:r>
          </w:p>
        </w:tc>
        <w:tc>
          <w:tcPr>
            <w:tcW w:w="433" w:type="pct"/>
            <w:gridSpan w:val="3"/>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w:t>
            </w:r>
          </w:p>
        </w:tc>
        <w:tc>
          <w:tcPr>
            <w:tcW w:w="453" w:type="pct"/>
            <w:gridSpan w:val="2"/>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w:t>
            </w:r>
          </w:p>
        </w:tc>
        <w:tc>
          <w:tcPr>
            <w:tcW w:w="619" w:type="pct"/>
            <w:gridSpan w:val="3"/>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w:t>
            </w:r>
          </w:p>
        </w:tc>
      </w:tr>
      <w:tr w:rsidR="00740256">
        <w:trPr>
          <w:trHeight w:val="702"/>
        </w:trPr>
        <w:tc>
          <w:tcPr>
            <w:tcW w:w="416"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11.80</w:t>
            </w:r>
          </w:p>
        </w:tc>
        <w:tc>
          <w:tcPr>
            <w:tcW w:w="415"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280"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4.80</w:t>
            </w:r>
          </w:p>
        </w:tc>
        <w:tc>
          <w:tcPr>
            <w:tcW w:w="422"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09"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4.80</w:t>
            </w:r>
          </w:p>
        </w:tc>
        <w:tc>
          <w:tcPr>
            <w:tcW w:w="365"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7.00</w:t>
            </w:r>
          </w:p>
        </w:tc>
        <w:tc>
          <w:tcPr>
            <w:tcW w:w="330" w:type="pct"/>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11.01</w:t>
            </w:r>
          </w:p>
        </w:tc>
        <w:tc>
          <w:tcPr>
            <w:tcW w:w="428"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23"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4.80</w:t>
            </w:r>
          </w:p>
        </w:tc>
        <w:tc>
          <w:tcPr>
            <w:tcW w:w="433"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53"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4.80</w:t>
            </w:r>
          </w:p>
        </w:tc>
        <w:tc>
          <w:tcPr>
            <w:tcW w:w="619"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6.21</w:t>
            </w:r>
          </w:p>
        </w:tc>
      </w:tr>
      <w:tr w:rsidR="00740256">
        <w:trPr>
          <w:trHeight w:val="615"/>
        </w:trPr>
        <w:tc>
          <w:tcPr>
            <w:tcW w:w="5000" w:type="pct"/>
            <w:gridSpan w:val="27"/>
            <w:tcBorders>
              <w:top w:val="nil"/>
              <w:left w:val="nil"/>
              <w:bottom w:val="nil"/>
              <w:right w:val="nil"/>
            </w:tcBorders>
            <w:shd w:val="clear" w:color="auto" w:fill="auto"/>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三公</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经费支出预决算情况。其中，预算数为</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三公</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经费全年预算数，反映按规定程序调整后的预算数；决算数是包括当年一般公共预算财政拨款和以前年度结转资金安排的实际支出。</w:t>
            </w:r>
          </w:p>
        </w:tc>
      </w:tr>
      <w:tr w:rsidR="00740256">
        <w:trPr>
          <w:trHeight w:val="615"/>
        </w:trPr>
        <w:tc>
          <w:tcPr>
            <w:tcW w:w="5000" w:type="pct"/>
            <w:gridSpan w:val="27"/>
            <w:tcBorders>
              <w:top w:val="nil"/>
              <w:left w:val="nil"/>
              <w:bottom w:val="nil"/>
              <w:right w:val="nil"/>
            </w:tcBorders>
            <w:shd w:val="clear" w:color="auto" w:fill="auto"/>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gridBefore w:val="2"/>
          <w:wBefore w:w="127" w:type="pct"/>
          <w:trHeight w:val="3432"/>
        </w:trPr>
        <w:tc>
          <w:tcPr>
            <w:tcW w:w="4872" w:type="pct"/>
            <w:gridSpan w:val="25"/>
            <w:tcBorders>
              <w:top w:val="nil"/>
              <w:left w:val="nil"/>
              <w:right w:val="nil"/>
            </w:tcBorders>
            <w:shd w:val="clear" w:color="auto" w:fill="auto"/>
            <w:noWrap/>
            <w:vAlign w:val="bottom"/>
          </w:tcPr>
          <w:p w:rsidR="00740256" w:rsidRPr="00002BCE" w:rsidRDefault="00F8504F">
            <w:pPr>
              <w:widowControl/>
              <w:jc w:val="center"/>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lastRenderedPageBreak/>
              <w:t>政府性基金预算财政拨款收入支出决算表</w:t>
            </w:r>
          </w:p>
          <w:p w:rsidR="00740256" w:rsidRDefault="00F8504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公开08表</w:t>
            </w:r>
          </w:p>
          <w:p w:rsidR="00740256" w:rsidRDefault="00F8504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部门：湖南省湘西自治州库区移民事务中心</w:t>
            </w:r>
          </w:p>
          <w:p w:rsidR="00740256" w:rsidRDefault="00F8504F">
            <w:pPr>
              <w:jc w:val="right"/>
              <w:rPr>
                <w:rFonts w:ascii="Arial" w:eastAsia="宋体" w:hAnsi="Arial" w:cs="Arial"/>
                <w:color w:val="000000"/>
                <w:kern w:val="0"/>
                <w:sz w:val="20"/>
                <w:szCs w:val="20"/>
              </w:rPr>
            </w:pPr>
            <w:r>
              <w:rPr>
                <w:rFonts w:ascii="宋体" w:eastAsia="宋体" w:hAnsi="宋体" w:cs="Arial" w:hint="eastAsia"/>
                <w:color w:val="000000"/>
                <w:kern w:val="0"/>
                <w:sz w:val="20"/>
                <w:szCs w:val="20"/>
              </w:rPr>
              <w:t>金额单位：万元</w:t>
            </w:r>
          </w:p>
        </w:tc>
      </w:tr>
      <w:tr w:rsidR="00740256">
        <w:trPr>
          <w:gridBefore w:val="2"/>
          <w:wBefore w:w="127" w:type="pct"/>
          <w:trHeight w:val="308"/>
        </w:trPr>
        <w:tc>
          <w:tcPr>
            <w:tcW w:w="2163" w:type="pct"/>
            <w:gridSpan w:val="11"/>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w:t>
            </w:r>
          </w:p>
        </w:tc>
        <w:tc>
          <w:tcPr>
            <w:tcW w:w="450" w:type="pct"/>
            <w:gridSpan w:val="3"/>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年初结转和结余</w:t>
            </w:r>
          </w:p>
        </w:tc>
        <w:tc>
          <w:tcPr>
            <w:tcW w:w="426" w:type="pct"/>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本年收入</w:t>
            </w:r>
          </w:p>
        </w:tc>
        <w:tc>
          <w:tcPr>
            <w:tcW w:w="1400" w:type="pct"/>
            <w:gridSpan w:val="7"/>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本年支出</w:t>
            </w:r>
          </w:p>
        </w:tc>
        <w:tc>
          <w:tcPr>
            <w:tcW w:w="431" w:type="pct"/>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年末结转和结余</w:t>
            </w:r>
          </w:p>
        </w:tc>
      </w:tr>
      <w:tr w:rsidR="00740256">
        <w:trPr>
          <w:gridBefore w:val="2"/>
          <w:wBefore w:w="127" w:type="pct"/>
          <w:trHeight w:val="312"/>
        </w:trPr>
        <w:tc>
          <w:tcPr>
            <w:tcW w:w="418" w:type="pct"/>
            <w:gridSpan w:val="5"/>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功能分类科目编码</w:t>
            </w:r>
          </w:p>
        </w:tc>
        <w:tc>
          <w:tcPr>
            <w:tcW w:w="1744" w:type="pct"/>
            <w:gridSpan w:val="6"/>
            <w:vMerge w:val="restar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450" w:type="pct"/>
            <w:gridSpan w:val="3"/>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26" w:type="pct"/>
            <w:gridSpan w:val="2"/>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31"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小计</w:t>
            </w:r>
          </w:p>
        </w:tc>
        <w:tc>
          <w:tcPr>
            <w:tcW w:w="426" w:type="pct"/>
            <w:gridSpan w:val="3"/>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基本支出</w:t>
            </w:r>
          </w:p>
        </w:tc>
        <w:tc>
          <w:tcPr>
            <w:tcW w:w="542" w:type="pct"/>
            <w:gridSpan w:val="2"/>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项目支出</w:t>
            </w:r>
          </w:p>
        </w:tc>
        <w:tc>
          <w:tcPr>
            <w:tcW w:w="431" w:type="pct"/>
            <w:gridSpan w:val="2"/>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gridBefore w:val="2"/>
          <w:wBefore w:w="127" w:type="pct"/>
          <w:trHeight w:val="312"/>
        </w:trPr>
        <w:tc>
          <w:tcPr>
            <w:tcW w:w="418" w:type="pct"/>
            <w:gridSpan w:val="5"/>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744" w:type="pct"/>
            <w:gridSpan w:val="6"/>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50" w:type="pct"/>
            <w:gridSpan w:val="3"/>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26" w:type="pct"/>
            <w:gridSpan w:val="2"/>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31"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26" w:type="pct"/>
            <w:gridSpan w:val="3"/>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542"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31" w:type="pct"/>
            <w:gridSpan w:val="2"/>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gridBefore w:val="2"/>
          <w:wBefore w:w="127" w:type="pct"/>
          <w:trHeight w:val="312"/>
        </w:trPr>
        <w:tc>
          <w:tcPr>
            <w:tcW w:w="418" w:type="pct"/>
            <w:gridSpan w:val="5"/>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744" w:type="pct"/>
            <w:gridSpan w:val="6"/>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50" w:type="pct"/>
            <w:gridSpan w:val="3"/>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26" w:type="pct"/>
            <w:gridSpan w:val="2"/>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31"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26" w:type="pct"/>
            <w:gridSpan w:val="3"/>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542"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431" w:type="pct"/>
            <w:gridSpan w:val="2"/>
            <w:vMerge/>
            <w:tcBorders>
              <w:top w:val="single" w:sz="4" w:space="0" w:color="000000"/>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gridBefore w:val="2"/>
          <w:wBefore w:w="127" w:type="pct"/>
          <w:trHeight w:val="308"/>
        </w:trPr>
        <w:tc>
          <w:tcPr>
            <w:tcW w:w="2163" w:type="pct"/>
            <w:gridSpan w:val="11"/>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栏次</w:t>
            </w:r>
          </w:p>
        </w:tc>
        <w:tc>
          <w:tcPr>
            <w:tcW w:w="450" w:type="pct"/>
            <w:gridSpan w:val="3"/>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426"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431"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c>
          <w:tcPr>
            <w:tcW w:w="426" w:type="pct"/>
            <w:gridSpan w:val="3"/>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p>
        </w:tc>
        <w:tc>
          <w:tcPr>
            <w:tcW w:w="542"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p>
        </w:tc>
        <w:tc>
          <w:tcPr>
            <w:tcW w:w="431"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6</w:t>
            </w:r>
          </w:p>
        </w:tc>
      </w:tr>
      <w:tr w:rsidR="00740256">
        <w:trPr>
          <w:gridBefore w:val="2"/>
          <w:wBefore w:w="127" w:type="pct"/>
          <w:trHeight w:val="308"/>
        </w:trPr>
        <w:tc>
          <w:tcPr>
            <w:tcW w:w="2163" w:type="pct"/>
            <w:gridSpan w:val="11"/>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159.17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159.17</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159.17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0.00</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社会保障和就业支出</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159.17</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20822</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大中型水库移民后期扶持基金支出</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2082202</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基础设施建设和经济发展</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59.17</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20823</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小型水库移民扶助基金安排的支出</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2082302</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基础设施建设和经济发展</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100.00</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0.00</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2"/>
          <w:wBefore w:w="127" w:type="pct"/>
          <w:trHeight w:val="308"/>
        </w:trPr>
        <w:tc>
          <w:tcPr>
            <w:tcW w:w="418"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744"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50"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26" w:type="pct"/>
            <w:gridSpan w:val="3"/>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542"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431"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2"/>
          <w:wBefore w:w="127" w:type="pct"/>
          <w:trHeight w:val="308"/>
        </w:trPr>
        <w:tc>
          <w:tcPr>
            <w:tcW w:w="4872" w:type="pct"/>
            <w:gridSpan w:val="25"/>
            <w:tcBorders>
              <w:top w:val="nil"/>
              <w:left w:val="nil"/>
              <w:bottom w:val="nil"/>
              <w:right w:val="nil"/>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注：本表反映部门本年度政府性基金预算财政拨款收入、支出及结转和结余情况。</w:t>
            </w:r>
          </w:p>
        </w:tc>
      </w:tr>
      <w:tr w:rsidR="00740256">
        <w:trPr>
          <w:gridBefore w:val="2"/>
          <w:wBefore w:w="127" w:type="pct"/>
          <w:trHeight w:val="308"/>
        </w:trPr>
        <w:tc>
          <w:tcPr>
            <w:tcW w:w="4872" w:type="pct"/>
            <w:gridSpan w:val="25"/>
            <w:tcBorders>
              <w:top w:val="nil"/>
              <w:left w:val="nil"/>
              <w:bottom w:val="nil"/>
              <w:right w:val="nil"/>
            </w:tcBorders>
            <w:shd w:val="clear" w:color="auto" w:fill="auto"/>
            <w:noWrap/>
            <w:vAlign w:val="center"/>
          </w:tcPr>
          <w:p w:rsidR="00740256" w:rsidRDefault="00740256">
            <w:pPr>
              <w:widowControl/>
              <w:jc w:val="left"/>
              <w:rPr>
                <w:rFonts w:ascii="Times New Roman" w:eastAsia="仿宋_GB2312" w:hAnsi="Times New Roman" w:cs="Times New Roman"/>
                <w:color w:val="000000"/>
                <w:kern w:val="0"/>
                <w:sz w:val="22"/>
              </w:rPr>
            </w:pPr>
          </w:p>
          <w:p w:rsidR="00740256" w:rsidRDefault="00740256">
            <w:pPr>
              <w:widowControl/>
              <w:jc w:val="left"/>
              <w:rPr>
                <w:rFonts w:ascii="Times New Roman" w:eastAsia="仿宋_GB2312" w:hAnsi="Times New Roman" w:cs="Times New Roman"/>
                <w:color w:val="000000"/>
                <w:kern w:val="0"/>
                <w:sz w:val="22"/>
              </w:rPr>
            </w:pPr>
          </w:p>
        </w:tc>
      </w:tr>
      <w:tr w:rsidR="00740256">
        <w:trPr>
          <w:gridBefore w:val="1"/>
          <w:gridAfter w:val="1"/>
          <w:wBefore w:w="46" w:type="pct"/>
          <w:wAfter w:w="83" w:type="pct"/>
          <w:trHeight w:val="390"/>
        </w:trPr>
        <w:tc>
          <w:tcPr>
            <w:tcW w:w="147" w:type="pct"/>
            <w:gridSpan w:val="2"/>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3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50" w:type="pct"/>
            <w:gridSpan w:val="2"/>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2691" w:type="pct"/>
            <w:gridSpan w:val="12"/>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p w:rsidR="00740256" w:rsidRDefault="00740256">
            <w:pPr>
              <w:widowControl/>
              <w:jc w:val="left"/>
              <w:rPr>
                <w:rFonts w:ascii="Arial" w:eastAsia="宋体" w:hAnsi="Arial" w:cs="Arial"/>
                <w:color w:val="000000"/>
                <w:kern w:val="0"/>
                <w:sz w:val="20"/>
                <w:szCs w:val="20"/>
              </w:rPr>
            </w:pPr>
          </w:p>
          <w:p w:rsidR="00740256" w:rsidRDefault="00740256">
            <w:pPr>
              <w:widowControl/>
              <w:jc w:val="left"/>
              <w:rPr>
                <w:rFonts w:ascii="Arial" w:eastAsia="宋体" w:hAnsi="Arial" w:cs="Arial"/>
                <w:color w:val="000000"/>
                <w:kern w:val="0"/>
                <w:sz w:val="20"/>
                <w:szCs w:val="20"/>
              </w:rPr>
            </w:pPr>
          </w:p>
          <w:p w:rsidR="00740256" w:rsidRDefault="00740256">
            <w:pPr>
              <w:widowControl/>
              <w:jc w:val="left"/>
              <w:rPr>
                <w:rFonts w:ascii="Arial" w:eastAsia="宋体" w:hAnsi="Arial" w:cs="Arial"/>
                <w:color w:val="000000"/>
                <w:kern w:val="0"/>
                <w:sz w:val="20"/>
                <w:szCs w:val="20"/>
              </w:rPr>
            </w:pPr>
          </w:p>
          <w:p w:rsidR="00740256" w:rsidRPr="00002BCE" w:rsidRDefault="00F8504F">
            <w:pPr>
              <w:widowControl/>
              <w:jc w:val="center"/>
              <w:rPr>
                <w:rFonts w:ascii="楷体" w:eastAsia="楷体" w:hAnsi="楷体" w:cs="Arial"/>
                <w:color w:val="000000"/>
                <w:kern w:val="0"/>
                <w:sz w:val="32"/>
                <w:szCs w:val="32"/>
              </w:rPr>
            </w:pPr>
            <w:r w:rsidRPr="00002BCE">
              <w:rPr>
                <w:rFonts w:ascii="楷体" w:eastAsia="楷体" w:hAnsi="楷体" w:cs="Arial" w:hint="eastAsia"/>
                <w:color w:val="000000"/>
                <w:kern w:val="0"/>
                <w:sz w:val="32"/>
                <w:szCs w:val="32"/>
              </w:rPr>
              <w:t>国有资本经营预算财政拨款支出决算表</w:t>
            </w:r>
          </w:p>
        </w:tc>
        <w:tc>
          <w:tcPr>
            <w:tcW w:w="701" w:type="pct"/>
            <w:gridSpan w:val="3"/>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047" w:type="pct"/>
            <w:gridSpan w:val="5"/>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r>
      <w:tr w:rsidR="00740256">
        <w:trPr>
          <w:gridBefore w:val="1"/>
          <w:gridAfter w:val="1"/>
          <w:wBefore w:w="46" w:type="pct"/>
          <w:wAfter w:w="83" w:type="pct"/>
          <w:trHeight w:val="255"/>
        </w:trPr>
        <w:tc>
          <w:tcPr>
            <w:tcW w:w="147" w:type="pct"/>
            <w:gridSpan w:val="2"/>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30" w:type="pct"/>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50" w:type="pct"/>
            <w:gridSpan w:val="2"/>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525" w:type="pct"/>
            <w:gridSpan w:val="6"/>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165" w:type="pct"/>
            <w:gridSpan w:val="6"/>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701" w:type="pct"/>
            <w:gridSpan w:val="3"/>
            <w:tcBorders>
              <w:top w:val="nil"/>
              <w:left w:val="nil"/>
              <w:bottom w:val="nil"/>
              <w:right w:val="nil"/>
            </w:tcBorders>
            <w:shd w:val="clear" w:color="auto" w:fill="auto"/>
            <w:noWrap/>
            <w:vAlign w:val="bottom"/>
          </w:tcPr>
          <w:p w:rsidR="00740256" w:rsidRDefault="00740256">
            <w:pPr>
              <w:widowControl/>
              <w:jc w:val="left"/>
              <w:rPr>
                <w:rFonts w:ascii="Arial" w:eastAsia="宋体" w:hAnsi="Arial" w:cs="Arial"/>
                <w:color w:val="000000"/>
                <w:kern w:val="0"/>
                <w:sz w:val="20"/>
                <w:szCs w:val="20"/>
              </w:rPr>
            </w:pPr>
          </w:p>
        </w:tc>
        <w:tc>
          <w:tcPr>
            <w:tcW w:w="1047" w:type="pct"/>
            <w:gridSpan w:val="5"/>
            <w:tcBorders>
              <w:top w:val="nil"/>
              <w:left w:val="nil"/>
              <w:bottom w:val="nil"/>
              <w:right w:val="nil"/>
            </w:tcBorders>
            <w:shd w:val="clear" w:color="auto" w:fill="auto"/>
            <w:noWrap/>
            <w:vAlign w:val="bottom"/>
          </w:tcPr>
          <w:p w:rsidR="00740256" w:rsidRDefault="00F8504F">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公开09表</w:t>
            </w:r>
          </w:p>
        </w:tc>
      </w:tr>
      <w:tr w:rsidR="00740256">
        <w:trPr>
          <w:gridBefore w:val="1"/>
          <w:gridAfter w:val="1"/>
          <w:wBefore w:w="46" w:type="pct"/>
          <w:wAfter w:w="83" w:type="pct"/>
          <w:trHeight w:val="255"/>
        </w:trPr>
        <w:tc>
          <w:tcPr>
            <w:tcW w:w="1955" w:type="pct"/>
            <w:gridSpan w:val="11"/>
            <w:tcBorders>
              <w:top w:val="nil"/>
              <w:left w:val="nil"/>
              <w:bottom w:val="nil"/>
              <w:right w:val="nil"/>
            </w:tcBorders>
            <w:shd w:val="clear" w:color="auto" w:fill="auto"/>
            <w:noWrap/>
            <w:vAlign w:val="bottom"/>
          </w:tcPr>
          <w:p w:rsidR="00740256" w:rsidRDefault="00F8504F">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部门：湖南省湘西自治州库区移民事务中心</w:t>
            </w:r>
          </w:p>
        </w:tc>
        <w:tc>
          <w:tcPr>
            <w:tcW w:w="1165" w:type="pct"/>
            <w:gridSpan w:val="6"/>
            <w:tcBorders>
              <w:top w:val="nil"/>
              <w:left w:val="nil"/>
              <w:bottom w:val="nil"/>
              <w:right w:val="nil"/>
            </w:tcBorders>
            <w:shd w:val="clear" w:color="auto" w:fill="auto"/>
            <w:noWrap/>
            <w:vAlign w:val="bottom"/>
          </w:tcPr>
          <w:p w:rsidR="00740256" w:rsidRDefault="00740256">
            <w:pPr>
              <w:widowControl/>
              <w:jc w:val="left"/>
              <w:rPr>
                <w:rFonts w:ascii="Times New Roman" w:eastAsia="仿宋_GB2312" w:hAnsi="Times New Roman" w:cs="Times New Roman"/>
                <w:color w:val="000000"/>
                <w:kern w:val="0"/>
                <w:sz w:val="20"/>
                <w:szCs w:val="20"/>
              </w:rPr>
            </w:pPr>
          </w:p>
        </w:tc>
        <w:tc>
          <w:tcPr>
            <w:tcW w:w="701" w:type="pct"/>
            <w:gridSpan w:val="3"/>
            <w:tcBorders>
              <w:top w:val="nil"/>
              <w:left w:val="nil"/>
              <w:bottom w:val="nil"/>
              <w:right w:val="nil"/>
            </w:tcBorders>
            <w:shd w:val="clear" w:color="auto" w:fill="auto"/>
            <w:noWrap/>
            <w:vAlign w:val="bottom"/>
          </w:tcPr>
          <w:p w:rsidR="00740256" w:rsidRDefault="00740256">
            <w:pPr>
              <w:widowControl/>
              <w:jc w:val="left"/>
              <w:rPr>
                <w:rFonts w:ascii="Times New Roman" w:eastAsia="仿宋_GB2312" w:hAnsi="Times New Roman" w:cs="Times New Roman"/>
                <w:color w:val="000000"/>
                <w:kern w:val="0"/>
                <w:sz w:val="20"/>
                <w:szCs w:val="20"/>
              </w:rPr>
            </w:pPr>
          </w:p>
        </w:tc>
        <w:tc>
          <w:tcPr>
            <w:tcW w:w="1047" w:type="pct"/>
            <w:gridSpan w:val="5"/>
            <w:tcBorders>
              <w:top w:val="nil"/>
              <w:left w:val="nil"/>
              <w:bottom w:val="nil"/>
              <w:right w:val="nil"/>
            </w:tcBorders>
            <w:shd w:val="clear" w:color="auto" w:fill="auto"/>
            <w:noWrap/>
            <w:vAlign w:val="bottom"/>
          </w:tcPr>
          <w:p w:rsidR="00740256" w:rsidRDefault="00F8504F">
            <w:pPr>
              <w:widowControl/>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金额单位：万元</w:t>
            </w:r>
          </w:p>
        </w:tc>
      </w:tr>
      <w:tr w:rsidR="00740256">
        <w:trPr>
          <w:gridBefore w:val="1"/>
          <w:gridAfter w:val="1"/>
          <w:wBefore w:w="46" w:type="pct"/>
          <w:wAfter w:w="83" w:type="pct"/>
          <w:trHeight w:val="308"/>
        </w:trPr>
        <w:tc>
          <w:tcPr>
            <w:tcW w:w="1955" w:type="pct"/>
            <w:gridSpan w:val="11"/>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w:t>
            </w:r>
          </w:p>
        </w:tc>
        <w:tc>
          <w:tcPr>
            <w:tcW w:w="2914" w:type="pct"/>
            <w:gridSpan w:val="14"/>
            <w:tcBorders>
              <w:top w:val="single" w:sz="4" w:space="0" w:color="000000"/>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本年支出</w:t>
            </w:r>
          </w:p>
        </w:tc>
      </w:tr>
      <w:tr w:rsidR="00740256">
        <w:trPr>
          <w:gridBefore w:val="1"/>
          <w:gridAfter w:val="1"/>
          <w:wBefore w:w="46" w:type="pct"/>
          <w:wAfter w:w="83" w:type="pct"/>
          <w:trHeight w:val="312"/>
        </w:trPr>
        <w:tc>
          <w:tcPr>
            <w:tcW w:w="429" w:type="pct"/>
            <w:gridSpan w:val="5"/>
            <w:vMerge w:val="restart"/>
            <w:tcBorders>
              <w:top w:val="nil"/>
              <w:left w:val="single" w:sz="4" w:space="0" w:color="000000"/>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功能分类科目编码</w:t>
            </w:r>
          </w:p>
        </w:tc>
        <w:tc>
          <w:tcPr>
            <w:tcW w:w="1525" w:type="pct"/>
            <w:gridSpan w:val="6"/>
            <w:vMerge w:val="restart"/>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科目名称</w:t>
            </w:r>
          </w:p>
        </w:tc>
        <w:tc>
          <w:tcPr>
            <w:tcW w:w="1165" w:type="pct"/>
            <w:gridSpan w:val="6"/>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701" w:type="pct"/>
            <w:gridSpan w:val="3"/>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基本支出</w:t>
            </w:r>
          </w:p>
        </w:tc>
        <w:tc>
          <w:tcPr>
            <w:tcW w:w="1047" w:type="pct"/>
            <w:gridSpan w:val="5"/>
            <w:vMerge w:val="restart"/>
            <w:tcBorders>
              <w:top w:val="nil"/>
              <w:left w:val="nil"/>
              <w:bottom w:val="single" w:sz="4" w:space="0" w:color="000000"/>
              <w:right w:val="single" w:sz="4" w:space="0" w:color="000000"/>
            </w:tcBorders>
            <w:shd w:val="clear" w:color="FFFFFF" w:fill="C0C0C0"/>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项目支出</w:t>
            </w:r>
          </w:p>
        </w:tc>
      </w:tr>
      <w:tr w:rsidR="00740256">
        <w:trPr>
          <w:gridBefore w:val="1"/>
          <w:gridAfter w:val="1"/>
          <w:wBefore w:w="46" w:type="pct"/>
          <w:wAfter w:w="83" w:type="pct"/>
          <w:trHeight w:val="312"/>
        </w:trPr>
        <w:tc>
          <w:tcPr>
            <w:tcW w:w="429" w:type="pct"/>
            <w:gridSpan w:val="5"/>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525" w:type="pct"/>
            <w:gridSpan w:val="6"/>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490" w:type="pct"/>
            <w:gridSpan w:val="7"/>
            <w:vMerge w:val="restart"/>
            <w:tcBorders>
              <w:top w:val="nil"/>
              <w:left w:val="nil"/>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76" w:type="pct"/>
            <w:gridSpan w:val="2"/>
            <w:vMerge w:val="restart"/>
            <w:tcBorders>
              <w:top w:val="nil"/>
              <w:left w:val="nil"/>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47" w:type="pct"/>
            <w:gridSpan w:val="5"/>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gridBefore w:val="1"/>
          <w:gridAfter w:val="1"/>
          <w:wBefore w:w="46" w:type="pct"/>
          <w:wAfter w:w="83" w:type="pct"/>
          <w:trHeight w:val="312"/>
        </w:trPr>
        <w:tc>
          <w:tcPr>
            <w:tcW w:w="429" w:type="pct"/>
            <w:gridSpan w:val="5"/>
            <w:vMerge/>
            <w:tcBorders>
              <w:top w:val="nil"/>
              <w:left w:val="single" w:sz="4" w:space="0" w:color="000000"/>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525" w:type="pct"/>
            <w:gridSpan w:val="6"/>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490" w:type="pct"/>
            <w:gridSpan w:val="7"/>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376" w:type="pct"/>
            <w:gridSpan w:val="2"/>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c>
          <w:tcPr>
            <w:tcW w:w="1047" w:type="pct"/>
            <w:gridSpan w:val="5"/>
            <w:vMerge/>
            <w:tcBorders>
              <w:top w:val="nil"/>
              <w:left w:val="nil"/>
              <w:bottom w:val="single" w:sz="4" w:space="0" w:color="000000"/>
              <w:right w:val="single" w:sz="4" w:space="0" w:color="000000"/>
            </w:tcBorders>
            <w:vAlign w:val="center"/>
          </w:tcPr>
          <w:p w:rsidR="00740256" w:rsidRDefault="00740256">
            <w:pPr>
              <w:widowControl/>
              <w:jc w:val="left"/>
              <w:rPr>
                <w:rFonts w:ascii="Times New Roman" w:eastAsia="仿宋_GB2312" w:hAnsi="Times New Roman" w:cs="Times New Roman"/>
                <w:color w:val="000000"/>
                <w:kern w:val="0"/>
                <w:sz w:val="22"/>
              </w:rPr>
            </w:pPr>
          </w:p>
        </w:tc>
      </w:tr>
      <w:tr w:rsidR="00740256">
        <w:trPr>
          <w:gridBefore w:val="1"/>
          <w:gridAfter w:val="1"/>
          <w:wBefore w:w="46" w:type="pct"/>
          <w:wAfter w:w="83" w:type="pct"/>
          <w:trHeight w:val="308"/>
        </w:trPr>
        <w:tc>
          <w:tcPr>
            <w:tcW w:w="1955" w:type="pct"/>
            <w:gridSpan w:val="11"/>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栏次</w:t>
            </w:r>
          </w:p>
        </w:tc>
        <w:tc>
          <w:tcPr>
            <w:tcW w:w="1490" w:type="pct"/>
            <w:gridSpan w:val="7"/>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p>
        </w:tc>
        <w:tc>
          <w:tcPr>
            <w:tcW w:w="376" w:type="pct"/>
            <w:gridSpan w:val="2"/>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p>
        </w:tc>
        <w:tc>
          <w:tcPr>
            <w:tcW w:w="1047" w:type="pct"/>
            <w:gridSpan w:val="5"/>
            <w:tcBorders>
              <w:top w:val="nil"/>
              <w:left w:val="nil"/>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p>
        </w:tc>
      </w:tr>
      <w:tr w:rsidR="00740256">
        <w:trPr>
          <w:gridBefore w:val="1"/>
          <w:gridAfter w:val="1"/>
          <w:wBefore w:w="46" w:type="pct"/>
          <w:wAfter w:w="83" w:type="pct"/>
          <w:trHeight w:val="308"/>
        </w:trPr>
        <w:tc>
          <w:tcPr>
            <w:tcW w:w="1955" w:type="pct"/>
            <w:gridSpan w:val="11"/>
            <w:tcBorders>
              <w:top w:val="nil"/>
              <w:left w:val="single" w:sz="4" w:space="0" w:color="000000"/>
              <w:bottom w:val="single" w:sz="4" w:space="0" w:color="000000"/>
              <w:right w:val="single" w:sz="4" w:space="0" w:color="000000"/>
            </w:tcBorders>
            <w:shd w:val="clear" w:color="FFFFFF" w:fill="C0C0C0"/>
            <w:noWrap/>
            <w:vAlign w:val="center"/>
          </w:tcPr>
          <w:p w:rsidR="00740256" w:rsidRDefault="00F8504F">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合计</w:t>
            </w:r>
          </w:p>
        </w:tc>
        <w:tc>
          <w:tcPr>
            <w:tcW w:w="1490" w:type="pct"/>
            <w:gridSpan w:val="7"/>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 xml:space="preserve">　</w:t>
            </w:r>
          </w:p>
        </w:tc>
        <w:tc>
          <w:tcPr>
            <w:tcW w:w="37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 xml:space="preserve">　</w:t>
            </w:r>
          </w:p>
        </w:tc>
        <w:tc>
          <w:tcPr>
            <w:tcW w:w="1047"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 xml:space="preserve">　</w:t>
            </w:r>
          </w:p>
        </w:tc>
      </w:tr>
      <w:tr w:rsidR="00740256">
        <w:trPr>
          <w:gridBefore w:val="1"/>
          <w:gridAfter w:val="1"/>
          <w:wBefore w:w="46" w:type="pct"/>
          <w:wAfter w:w="83" w:type="pct"/>
          <w:trHeight w:val="308"/>
        </w:trPr>
        <w:tc>
          <w:tcPr>
            <w:tcW w:w="429"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525"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490" w:type="pct"/>
            <w:gridSpan w:val="7"/>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37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047"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1"/>
          <w:gridAfter w:val="1"/>
          <w:wBefore w:w="46" w:type="pct"/>
          <w:wAfter w:w="83" w:type="pct"/>
          <w:trHeight w:val="308"/>
        </w:trPr>
        <w:tc>
          <w:tcPr>
            <w:tcW w:w="429"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525"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490" w:type="pct"/>
            <w:gridSpan w:val="7"/>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37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047"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1"/>
          <w:gridAfter w:val="1"/>
          <w:wBefore w:w="46" w:type="pct"/>
          <w:wAfter w:w="83" w:type="pct"/>
          <w:trHeight w:val="308"/>
        </w:trPr>
        <w:tc>
          <w:tcPr>
            <w:tcW w:w="429"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525"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490" w:type="pct"/>
            <w:gridSpan w:val="7"/>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37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047"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1"/>
          <w:gridAfter w:val="1"/>
          <w:wBefore w:w="46" w:type="pct"/>
          <w:wAfter w:w="83" w:type="pct"/>
          <w:trHeight w:val="308"/>
        </w:trPr>
        <w:tc>
          <w:tcPr>
            <w:tcW w:w="429"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525"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490" w:type="pct"/>
            <w:gridSpan w:val="7"/>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37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047"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1"/>
          <w:gridAfter w:val="1"/>
          <w:wBefore w:w="46" w:type="pct"/>
          <w:wAfter w:w="83" w:type="pct"/>
          <w:trHeight w:val="308"/>
        </w:trPr>
        <w:tc>
          <w:tcPr>
            <w:tcW w:w="429"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525"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490" w:type="pct"/>
            <w:gridSpan w:val="7"/>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37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047"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1"/>
          <w:gridAfter w:val="1"/>
          <w:wBefore w:w="46" w:type="pct"/>
          <w:wAfter w:w="83" w:type="pct"/>
          <w:trHeight w:val="308"/>
        </w:trPr>
        <w:tc>
          <w:tcPr>
            <w:tcW w:w="429" w:type="pct"/>
            <w:gridSpan w:val="5"/>
            <w:tcBorders>
              <w:top w:val="nil"/>
              <w:left w:val="single" w:sz="4" w:space="0" w:color="000000"/>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525" w:type="pct"/>
            <w:gridSpan w:val="6"/>
            <w:tcBorders>
              <w:top w:val="nil"/>
              <w:left w:val="nil"/>
              <w:bottom w:val="single" w:sz="4" w:space="0" w:color="000000"/>
              <w:right w:val="single" w:sz="4" w:space="0" w:color="000000"/>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490" w:type="pct"/>
            <w:gridSpan w:val="7"/>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376" w:type="pct"/>
            <w:gridSpan w:val="2"/>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c>
          <w:tcPr>
            <w:tcW w:w="1047" w:type="pct"/>
            <w:gridSpan w:val="5"/>
            <w:tcBorders>
              <w:top w:val="nil"/>
              <w:left w:val="nil"/>
              <w:bottom w:val="single" w:sz="4" w:space="0" w:color="000000"/>
              <w:right w:val="single" w:sz="4" w:space="0" w:color="000000"/>
            </w:tcBorders>
            <w:shd w:val="clear" w:color="auto" w:fill="auto"/>
            <w:noWrap/>
            <w:vAlign w:val="center"/>
          </w:tcPr>
          <w:p w:rsidR="00740256" w:rsidRDefault="00F8504F">
            <w:pPr>
              <w:widowControl/>
              <w:jc w:val="righ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740256">
        <w:trPr>
          <w:gridBefore w:val="1"/>
          <w:gridAfter w:val="1"/>
          <w:wBefore w:w="46" w:type="pct"/>
          <w:wAfter w:w="83" w:type="pct"/>
          <w:trHeight w:val="308"/>
        </w:trPr>
        <w:tc>
          <w:tcPr>
            <w:tcW w:w="4869" w:type="pct"/>
            <w:gridSpan w:val="25"/>
            <w:tcBorders>
              <w:top w:val="nil"/>
              <w:left w:val="nil"/>
              <w:bottom w:val="nil"/>
              <w:right w:val="nil"/>
            </w:tcBorders>
            <w:shd w:val="clear" w:color="auto" w:fill="auto"/>
            <w:noWrap/>
            <w:vAlign w:val="center"/>
          </w:tcPr>
          <w:p w:rsidR="00740256" w:rsidRDefault="00F8504F">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注：本表反映部门本年度国有资本经营预算财政拨款支出情况。</w:t>
            </w:r>
          </w:p>
        </w:tc>
      </w:tr>
    </w:tbl>
    <w:p w:rsidR="00740256" w:rsidRDefault="00740256">
      <w:pPr>
        <w:pStyle w:val="Default"/>
        <w:jc w:val="center"/>
        <w:rPr>
          <w:sz w:val="72"/>
          <w:szCs w:val="72"/>
        </w:rPr>
      </w:pPr>
    </w:p>
    <w:p w:rsidR="00740256" w:rsidRDefault="00740256">
      <w:pPr>
        <w:pStyle w:val="Default"/>
        <w:jc w:val="center"/>
        <w:rPr>
          <w:sz w:val="72"/>
          <w:szCs w:val="72"/>
        </w:rPr>
      </w:pPr>
    </w:p>
    <w:p w:rsidR="00740256" w:rsidRDefault="00F8504F">
      <w:pPr>
        <w:pStyle w:val="Default"/>
        <w:snapToGrid w:val="0"/>
        <w:spacing w:line="600" w:lineRule="exact"/>
        <w:jc w:val="center"/>
        <w:rPr>
          <w:rFonts w:ascii="Times New Roman" w:hAnsi="Times New Roman" w:cs="Times New Roman"/>
          <w:sz w:val="44"/>
          <w:szCs w:val="44"/>
        </w:rPr>
      </w:pPr>
      <w:r>
        <w:rPr>
          <w:rFonts w:ascii="Times New Roman" w:hAnsi="Times New Roman" w:cs="Times New Roman"/>
          <w:sz w:val="44"/>
          <w:szCs w:val="44"/>
        </w:rPr>
        <w:lastRenderedPageBreak/>
        <w:t>第三部分</w:t>
      </w:r>
      <w:r>
        <w:rPr>
          <w:rFonts w:ascii="Times New Roman" w:hAnsi="Times New Roman" w:cs="Times New Roman"/>
          <w:sz w:val="44"/>
          <w:szCs w:val="44"/>
        </w:rPr>
        <w:t xml:space="preserve"> 2020</w:t>
      </w:r>
      <w:r>
        <w:rPr>
          <w:rFonts w:ascii="Times New Roman" w:hAnsi="Times New Roman" w:cs="Times New Roman"/>
          <w:sz w:val="44"/>
          <w:szCs w:val="44"/>
        </w:rPr>
        <w:t>年度部门决算情况说明</w:t>
      </w:r>
    </w:p>
    <w:p w:rsidR="00740256" w:rsidRDefault="00740256" w:rsidP="00002BCE">
      <w:pPr>
        <w:pStyle w:val="Default"/>
        <w:ind w:firstLineChars="196" w:firstLine="630"/>
        <w:rPr>
          <w:rFonts w:ascii="仿宋" w:eastAsia="仿宋" w:hAnsi="仿宋"/>
          <w:b/>
          <w:sz w:val="32"/>
          <w:szCs w:val="32"/>
        </w:rPr>
      </w:pPr>
    </w:p>
    <w:p w:rsidR="00740256" w:rsidRDefault="00F8504F">
      <w:pPr>
        <w:pStyle w:val="Default"/>
        <w:snapToGrid w:val="0"/>
        <w:spacing w:line="600" w:lineRule="exact"/>
        <w:ind w:firstLineChars="200" w:firstLine="640"/>
        <w:rPr>
          <w:rFonts w:hAnsi="黑体"/>
          <w:bCs/>
          <w:sz w:val="32"/>
          <w:szCs w:val="32"/>
        </w:rPr>
      </w:pPr>
      <w:r>
        <w:rPr>
          <w:rFonts w:hAnsi="黑体" w:hint="eastAsia"/>
          <w:bCs/>
          <w:sz w:val="32"/>
          <w:szCs w:val="32"/>
        </w:rPr>
        <w:t>一、收入支出决算总体情况说明</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年度收、支总计</w:t>
      </w:r>
      <w:r>
        <w:rPr>
          <w:rFonts w:ascii="Times New Roman" w:eastAsia="仿宋_GB2312" w:hAnsi="Times New Roman" w:cs="Times New Roman"/>
          <w:sz w:val="32"/>
          <w:szCs w:val="32"/>
        </w:rPr>
        <w:t>890.17</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年相比，减少</w:t>
      </w:r>
      <w:r>
        <w:rPr>
          <w:rFonts w:ascii="Times New Roman" w:eastAsia="仿宋_GB2312" w:hAnsi="Times New Roman" w:cs="Times New Roman"/>
          <w:sz w:val="32"/>
          <w:szCs w:val="32"/>
        </w:rPr>
        <w:t>3.58</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，主要是因为厉行节约，减少</w:t>
      </w:r>
      <w:r>
        <w:rPr>
          <w:rFonts w:ascii="Times New Roman" w:eastAsia="仿宋_GB2312" w:hAnsi="Times New Roman" w:cs="Times New Roman" w:hint="eastAsia"/>
          <w:sz w:val="32"/>
          <w:szCs w:val="32"/>
        </w:rPr>
        <w:t>日常公用</w:t>
      </w:r>
      <w:r>
        <w:rPr>
          <w:rFonts w:ascii="Times New Roman" w:eastAsia="仿宋_GB2312" w:hAnsi="Times New Roman" w:cs="Times New Roman"/>
          <w:sz w:val="32"/>
          <w:szCs w:val="32"/>
        </w:rPr>
        <w:t>经费开支。</w:t>
      </w:r>
    </w:p>
    <w:p w:rsidR="00740256" w:rsidRDefault="00F8504F">
      <w:pPr>
        <w:pStyle w:val="Default"/>
        <w:snapToGrid w:val="0"/>
        <w:spacing w:line="600" w:lineRule="exact"/>
        <w:ind w:firstLineChars="200" w:firstLine="640"/>
        <w:rPr>
          <w:rFonts w:hAnsi="黑体"/>
          <w:bCs/>
          <w:sz w:val="32"/>
          <w:szCs w:val="32"/>
        </w:rPr>
      </w:pPr>
      <w:r>
        <w:rPr>
          <w:rFonts w:hAnsi="黑体" w:hint="eastAsia"/>
          <w:bCs/>
          <w:sz w:val="32"/>
          <w:szCs w:val="32"/>
        </w:rPr>
        <w:t>二、收入决算情况说明</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本年收入合计</w:t>
      </w:r>
      <w:r>
        <w:rPr>
          <w:rFonts w:ascii="Times New Roman" w:eastAsia="仿宋_GB2312" w:hAnsi="Times New Roman" w:cs="Times New Roman"/>
          <w:sz w:val="32"/>
          <w:szCs w:val="32"/>
        </w:rPr>
        <w:t>814.4</w:t>
      </w:r>
      <w:r>
        <w:rPr>
          <w:rFonts w:ascii="Times New Roman" w:eastAsia="仿宋_GB2312" w:hAnsi="Times New Roman" w:cs="Times New Roman"/>
          <w:sz w:val="32"/>
          <w:szCs w:val="32"/>
        </w:rPr>
        <w:t>万元，其中：财政拨款收入</w:t>
      </w:r>
      <w:r>
        <w:rPr>
          <w:rFonts w:ascii="Times New Roman" w:eastAsia="仿宋_GB2312" w:hAnsi="Times New Roman" w:cs="Times New Roman"/>
          <w:sz w:val="32"/>
          <w:szCs w:val="32"/>
        </w:rPr>
        <w:t>814.4</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740256" w:rsidRDefault="00F8504F">
      <w:pPr>
        <w:pStyle w:val="Default"/>
        <w:snapToGrid w:val="0"/>
        <w:spacing w:line="600" w:lineRule="exact"/>
        <w:ind w:firstLineChars="200" w:firstLine="640"/>
        <w:rPr>
          <w:rFonts w:hAnsi="黑体"/>
          <w:bCs/>
          <w:sz w:val="32"/>
          <w:szCs w:val="32"/>
        </w:rPr>
      </w:pPr>
      <w:r>
        <w:rPr>
          <w:rFonts w:hAnsi="黑体" w:hint="eastAsia"/>
          <w:bCs/>
          <w:sz w:val="32"/>
          <w:szCs w:val="32"/>
        </w:rPr>
        <w:t>三、支出决算情况说明</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本年支出合计</w:t>
      </w:r>
      <w:r>
        <w:rPr>
          <w:rFonts w:ascii="Times New Roman" w:eastAsia="仿宋_GB2312" w:hAnsi="Times New Roman" w:cs="Times New Roman"/>
          <w:sz w:val="32"/>
          <w:szCs w:val="32"/>
        </w:rPr>
        <w:t>807.42</w:t>
      </w:r>
      <w:r>
        <w:rPr>
          <w:rFonts w:ascii="Times New Roman" w:eastAsia="仿宋_GB2312" w:hAnsi="Times New Roman" w:cs="Times New Roman"/>
          <w:sz w:val="32"/>
          <w:szCs w:val="32"/>
        </w:rPr>
        <w:t>万元，其中：基本支出</w:t>
      </w:r>
      <w:r>
        <w:rPr>
          <w:rFonts w:ascii="Times New Roman" w:eastAsia="仿宋_GB2312" w:hAnsi="Times New Roman" w:cs="Times New Roman"/>
          <w:sz w:val="32"/>
          <w:szCs w:val="32"/>
        </w:rPr>
        <w:t>435.81</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53.97%</w:t>
      </w:r>
      <w:r>
        <w:rPr>
          <w:rFonts w:ascii="Times New Roman" w:eastAsia="仿宋_GB2312" w:hAnsi="Times New Roman" w:cs="Times New Roman"/>
          <w:sz w:val="32"/>
          <w:szCs w:val="32"/>
        </w:rPr>
        <w:t>；项目支出</w:t>
      </w:r>
      <w:r>
        <w:rPr>
          <w:rFonts w:ascii="Times New Roman" w:eastAsia="仿宋_GB2312" w:hAnsi="Times New Roman" w:cs="Times New Roman"/>
          <w:sz w:val="32"/>
          <w:szCs w:val="32"/>
        </w:rPr>
        <w:t>371.6</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46.03%</w:t>
      </w:r>
      <w:r>
        <w:rPr>
          <w:rFonts w:ascii="Times New Roman" w:eastAsia="仿宋_GB2312" w:hAnsi="Times New Roman" w:cs="Times New Roman"/>
          <w:sz w:val="32"/>
          <w:szCs w:val="32"/>
        </w:rPr>
        <w:t>。</w:t>
      </w:r>
    </w:p>
    <w:p w:rsidR="00740256" w:rsidRDefault="00F8504F">
      <w:pPr>
        <w:pStyle w:val="Default"/>
        <w:snapToGrid w:val="0"/>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年度收、支总计</w:t>
      </w:r>
      <w:r>
        <w:rPr>
          <w:rFonts w:ascii="Times New Roman" w:eastAsia="仿宋_GB2312" w:hAnsi="Times New Roman" w:cs="Times New Roman"/>
          <w:sz w:val="32"/>
          <w:szCs w:val="32"/>
        </w:rPr>
        <w:t>890.17</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年相比，减少</w:t>
      </w:r>
      <w:r>
        <w:rPr>
          <w:rFonts w:ascii="Times New Roman" w:eastAsia="仿宋_GB2312" w:hAnsi="Times New Roman" w:cs="Times New Roman"/>
          <w:sz w:val="32"/>
          <w:szCs w:val="32"/>
        </w:rPr>
        <w:t>3.58</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，主要是因为厉行节约，减少行政经费开支。</w:t>
      </w:r>
    </w:p>
    <w:p w:rsidR="00740256" w:rsidRDefault="00F8504F">
      <w:pPr>
        <w:pStyle w:val="Default"/>
        <w:snapToGrid w:val="0"/>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（一）财政拨款支出决算总体情况</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648.26</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t>80.28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年相比，财政拨款支出</w:t>
      </w:r>
      <w:r>
        <w:rPr>
          <w:rFonts w:ascii="Times New Roman" w:eastAsia="仿宋_GB2312" w:hAnsi="Times New Roman" w:cs="Times New Roman"/>
          <w:sz w:val="32"/>
          <w:szCs w:val="32"/>
        </w:rPr>
        <w:lastRenderedPageBreak/>
        <w:t>减少</w:t>
      </w:r>
      <w:r>
        <w:rPr>
          <w:rFonts w:ascii="Times New Roman" w:eastAsia="仿宋_GB2312" w:hAnsi="Times New Roman" w:cs="Times New Roman" w:hint="eastAsia"/>
          <w:sz w:val="32"/>
          <w:szCs w:val="32"/>
        </w:rPr>
        <w:t>203.98</w:t>
      </w:r>
      <w:r>
        <w:rPr>
          <w:rFonts w:ascii="Times New Roman" w:eastAsia="仿宋_GB2312" w:hAnsi="Times New Roman" w:cs="Times New Roman"/>
          <w:sz w:val="32"/>
          <w:szCs w:val="32"/>
        </w:rPr>
        <w:t>万元，减少</w:t>
      </w:r>
      <w:r>
        <w:rPr>
          <w:rFonts w:ascii="Times New Roman" w:eastAsia="仿宋_GB2312" w:hAnsi="Times New Roman" w:cs="Times New Roman" w:hint="eastAsia"/>
          <w:sz w:val="32"/>
          <w:szCs w:val="32"/>
        </w:rPr>
        <w:t>23.93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w:t>
      </w:r>
      <w:r w:rsidR="00075D80">
        <w:rPr>
          <w:rFonts w:ascii="Times New Roman" w:eastAsia="仿宋_GB2312" w:hAnsi="Times New Roman" w:cs="Times New Roman" w:hint="eastAsia"/>
          <w:sz w:val="32"/>
          <w:szCs w:val="32"/>
        </w:rPr>
        <w:t>因为</w:t>
      </w:r>
      <w:r>
        <w:rPr>
          <w:rFonts w:ascii="Times New Roman" w:eastAsia="仿宋_GB2312" w:hAnsi="Times New Roman" w:cs="Times New Roman"/>
          <w:sz w:val="32"/>
          <w:szCs w:val="32"/>
        </w:rPr>
        <w:t>去年拨付办公楼维修资金</w:t>
      </w:r>
      <w:r w:rsidR="00075D80">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增大当年支出。</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（二）财政拨款支出决算结构情况</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年度财政拨款支出</w:t>
      </w:r>
      <w:r>
        <w:rPr>
          <w:rFonts w:ascii="Times New Roman" w:eastAsia="仿宋_GB2312" w:hAnsi="Times New Roman" w:hint="eastAsia"/>
          <w:sz w:val="32"/>
          <w:szCs w:val="32"/>
        </w:rPr>
        <w:t>648.26</w:t>
      </w:r>
      <w:r>
        <w:rPr>
          <w:rFonts w:ascii="Times New Roman" w:eastAsia="仿宋_GB2312" w:hAnsi="Times New Roman"/>
          <w:sz w:val="32"/>
          <w:szCs w:val="32"/>
        </w:rPr>
        <w:t>万元，主要用于以下方面：</w:t>
      </w:r>
      <w:r>
        <w:rPr>
          <w:rStyle w:val="NormalCharacter"/>
          <w:rFonts w:ascii="Times New Roman" w:eastAsia="仿宋_GB2312" w:hAnsi="Times New Roman"/>
          <w:sz w:val="32"/>
          <w:szCs w:val="32"/>
        </w:rPr>
        <w:t>一般公共服务（类）支出</w:t>
      </w:r>
      <w:r>
        <w:rPr>
          <w:rStyle w:val="NormalCharacter"/>
          <w:rFonts w:ascii="Times New Roman" w:eastAsia="仿宋_GB2312" w:hAnsi="Times New Roman"/>
          <w:sz w:val="32"/>
          <w:szCs w:val="32"/>
        </w:rPr>
        <w:t>19.46</w:t>
      </w:r>
      <w:r>
        <w:rPr>
          <w:rStyle w:val="NormalCharacter"/>
          <w:rFonts w:ascii="Times New Roman" w:eastAsia="仿宋_GB2312" w:hAnsi="Times New Roman"/>
          <w:sz w:val="32"/>
          <w:szCs w:val="32"/>
        </w:rPr>
        <w:t>万元，占</w:t>
      </w:r>
      <w:r>
        <w:rPr>
          <w:rStyle w:val="NormalCharacter"/>
          <w:rFonts w:ascii="Times New Roman" w:eastAsia="仿宋_GB2312" w:hAnsi="Times New Roman" w:hint="eastAsia"/>
          <w:sz w:val="32"/>
          <w:szCs w:val="32"/>
        </w:rPr>
        <w:t>3</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；社会保障和就业支出</w:t>
      </w:r>
      <w:r>
        <w:rPr>
          <w:rStyle w:val="NormalCharacter"/>
          <w:rFonts w:ascii="Times New Roman" w:eastAsia="仿宋_GB2312" w:hAnsi="Times New Roman" w:hint="eastAsia"/>
          <w:sz w:val="32"/>
          <w:szCs w:val="32"/>
        </w:rPr>
        <w:t>56.86</w:t>
      </w:r>
      <w:r>
        <w:rPr>
          <w:rStyle w:val="NormalCharacter"/>
          <w:rFonts w:ascii="Times New Roman" w:eastAsia="仿宋_GB2312" w:hAnsi="Times New Roman"/>
          <w:sz w:val="32"/>
          <w:szCs w:val="32"/>
        </w:rPr>
        <w:t>万元，占</w:t>
      </w:r>
      <w:r>
        <w:rPr>
          <w:rStyle w:val="NormalCharacter"/>
          <w:rFonts w:ascii="Times New Roman" w:eastAsia="仿宋_GB2312" w:hAnsi="Times New Roman" w:hint="eastAsia"/>
          <w:sz w:val="32"/>
          <w:szCs w:val="32"/>
        </w:rPr>
        <w:t>8.77</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；卫生健康支出</w:t>
      </w:r>
      <w:r>
        <w:rPr>
          <w:rStyle w:val="NormalCharacter"/>
          <w:rFonts w:ascii="Times New Roman" w:eastAsia="仿宋_GB2312" w:hAnsi="Times New Roman"/>
          <w:sz w:val="32"/>
          <w:szCs w:val="32"/>
        </w:rPr>
        <w:t>12.44</w:t>
      </w:r>
      <w:r>
        <w:rPr>
          <w:rStyle w:val="NormalCharacter"/>
          <w:rFonts w:ascii="Times New Roman" w:eastAsia="仿宋_GB2312" w:hAnsi="Times New Roman"/>
          <w:sz w:val="32"/>
          <w:szCs w:val="32"/>
        </w:rPr>
        <w:t>万元，占</w:t>
      </w:r>
      <w:r>
        <w:rPr>
          <w:rStyle w:val="NormalCharacter"/>
          <w:rFonts w:ascii="Times New Roman" w:eastAsia="仿宋_GB2312" w:hAnsi="Times New Roman" w:hint="eastAsia"/>
          <w:sz w:val="32"/>
          <w:szCs w:val="32"/>
        </w:rPr>
        <w:t>1.92</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；农林水支出</w:t>
      </w:r>
      <w:r>
        <w:rPr>
          <w:rStyle w:val="NormalCharacter"/>
          <w:rFonts w:ascii="Times New Roman" w:eastAsia="仿宋_GB2312" w:hAnsi="Times New Roman"/>
          <w:sz w:val="32"/>
          <w:szCs w:val="32"/>
        </w:rPr>
        <w:t>538.18</w:t>
      </w:r>
      <w:r>
        <w:rPr>
          <w:rStyle w:val="NormalCharacter"/>
          <w:rFonts w:ascii="Times New Roman" w:eastAsia="仿宋_GB2312" w:hAnsi="Times New Roman"/>
          <w:sz w:val="32"/>
          <w:szCs w:val="32"/>
        </w:rPr>
        <w:t>万元，占</w:t>
      </w:r>
      <w:r>
        <w:rPr>
          <w:rStyle w:val="NormalCharacter"/>
          <w:rFonts w:ascii="Times New Roman" w:eastAsia="仿宋_GB2312" w:hAnsi="Times New Roman" w:hint="eastAsia"/>
          <w:sz w:val="32"/>
          <w:szCs w:val="32"/>
        </w:rPr>
        <w:t>83.02</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；住房保障支出</w:t>
      </w:r>
      <w:r>
        <w:rPr>
          <w:rStyle w:val="NormalCharacter"/>
          <w:rFonts w:ascii="Times New Roman" w:eastAsia="仿宋_GB2312" w:hAnsi="Times New Roman"/>
          <w:sz w:val="32"/>
          <w:szCs w:val="32"/>
        </w:rPr>
        <w:t>21.32</w:t>
      </w:r>
      <w:r>
        <w:rPr>
          <w:rStyle w:val="NormalCharacter"/>
          <w:rFonts w:ascii="Times New Roman" w:eastAsia="仿宋_GB2312" w:hAnsi="Times New Roman"/>
          <w:sz w:val="32"/>
          <w:szCs w:val="32"/>
        </w:rPr>
        <w:t>万元，占</w:t>
      </w:r>
      <w:r>
        <w:rPr>
          <w:rStyle w:val="NormalCharacter"/>
          <w:rFonts w:ascii="Times New Roman" w:eastAsia="仿宋_GB2312" w:hAnsi="Times New Roman" w:hint="eastAsia"/>
          <w:sz w:val="32"/>
          <w:szCs w:val="32"/>
        </w:rPr>
        <w:t>3.29</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（三）财政拨款支出决算具体情况</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sz w:val="32"/>
          <w:szCs w:val="32"/>
        </w:rPr>
        <w:t>349.75</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648.26</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185.34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1</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一般公共服务（类）政府办公厅（室）及相关机构事务服务（款）其他政府办公厅（室）及相关机构事务服务（项）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0</w:t>
      </w:r>
      <w:r>
        <w:rPr>
          <w:rStyle w:val="NormalCharacter"/>
          <w:rFonts w:ascii="Times New Roman" w:eastAsia="仿宋_GB2312" w:hAnsi="Times New Roman"/>
          <w:sz w:val="32"/>
          <w:szCs w:val="32"/>
        </w:rPr>
        <w:t>元，支出决算为</w:t>
      </w:r>
      <w:r>
        <w:rPr>
          <w:rStyle w:val="NormalCharacter"/>
          <w:rFonts w:ascii="Times New Roman" w:eastAsia="仿宋_GB2312" w:hAnsi="Times New Roman"/>
          <w:sz w:val="32"/>
          <w:szCs w:val="32"/>
        </w:rPr>
        <w:t>5</w:t>
      </w:r>
      <w:r>
        <w:rPr>
          <w:rStyle w:val="NormalCharacter"/>
          <w:rFonts w:ascii="Times New Roman" w:eastAsia="仿宋_GB2312" w:hAnsi="Times New Roman"/>
          <w:sz w:val="32"/>
          <w:szCs w:val="32"/>
        </w:rPr>
        <w:t>万元，决算数大于年初预算数的主要原因是：增加</w:t>
      </w:r>
      <w:r>
        <w:rPr>
          <w:rStyle w:val="NormalCharacter"/>
          <w:rFonts w:ascii="Times New Roman" w:eastAsia="仿宋_GB2312" w:hAnsi="Times New Roman"/>
          <w:sz w:val="32"/>
          <w:szCs w:val="32"/>
        </w:rPr>
        <w:t>2019</w:t>
      </w:r>
      <w:r>
        <w:rPr>
          <w:rStyle w:val="NormalCharacter"/>
          <w:rFonts w:ascii="Times New Roman" w:eastAsia="仿宋_GB2312" w:hAnsi="Times New Roman"/>
          <w:sz w:val="32"/>
          <w:szCs w:val="32"/>
        </w:rPr>
        <w:t>年度政府目标管理先进单位奖金。</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2</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一般公共服务（类）其他发展与改革事务支出（款）其他发展与改革事务支出（项）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0</w:t>
      </w:r>
      <w:r>
        <w:rPr>
          <w:rStyle w:val="NormalCharacter"/>
          <w:rFonts w:ascii="Times New Roman" w:eastAsia="仿宋_GB2312" w:hAnsi="Times New Roman"/>
          <w:sz w:val="32"/>
          <w:szCs w:val="32"/>
        </w:rPr>
        <w:t>元，支出决算为</w:t>
      </w:r>
      <w:r>
        <w:rPr>
          <w:rStyle w:val="NormalCharacter"/>
          <w:rFonts w:ascii="Times New Roman" w:eastAsia="仿宋_GB2312" w:hAnsi="Times New Roman"/>
          <w:sz w:val="32"/>
          <w:szCs w:val="32"/>
        </w:rPr>
        <w:t>12.16</w:t>
      </w:r>
      <w:r>
        <w:rPr>
          <w:rStyle w:val="NormalCharacter"/>
          <w:rFonts w:ascii="Times New Roman" w:eastAsia="仿宋_GB2312" w:hAnsi="Times New Roman"/>
          <w:sz w:val="32"/>
          <w:szCs w:val="32"/>
        </w:rPr>
        <w:t>万元，决算数大于年初预算数的主要原因是：</w:t>
      </w:r>
      <w:r>
        <w:rPr>
          <w:rStyle w:val="NormalCharacter"/>
          <w:rFonts w:ascii="Times New Roman" w:eastAsia="仿宋_GB2312" w:hAnsi="Times New Roman" w:hint="eastAsia"/>
          <w:sz w:val="32"/>
          <w:szCs w:val="32"/>
        </w:rPr>
        <w:t>收回上年存量资金</w:t>
      </w:r>
      <w:r>
        <w:rPr>
          <w:rStyle w:val="NormalCharacter"/>
          <w:rFonts w:ascii="Times New Roman" w:eastAsia="仿宋_GB2312" w:hAnsi="Times New Roman" w:hint="eastAsia"/>
          <w:sz w:val="32"/>
          <w:szCs w:val="32"/>
        </w:rPr>
        <w:t>20</w:t>
      </w:r>
      <w:r>
        <w:rPr>
          <w:rStyle w:val="NormalCharacter"/>
          <w:rFonts w:ascii="Times New Roman" w:eastAsia="仿宋_GB2312" w:hAnsi="Times New Roman" w:hint="eastAsia"/>
          <w:sz w:val="32"/>
          <w:szCs w:val="32"/>
        </w:rPr>
        <w:t>万元，当年支出</w:t>
      </w:r>
      <w:r>
        <w:rPr>
          <w:rStyle w:val="NormalCharacter"/>
          <w:rFonts w:ascii="Times New Roman" w:eastAsia="仿宋_GB2312" w:hAnsi="Times New Roman" w:hint="eastAsia"/>
          <w:sz w:val="32"/>
          <w:szCs w:val="32"/>
        </w:rPr>
        <w:t>12.16</w:t>
      </w:r>
      <w:r>
        <w:rPr>
          <w:rStyle w:val="NormalCharacter"/>
          <w:rFonts w:ascii="Times New Roman" w:eastAsia="仿宋_GB2312" w:hAnsi="Times New Roman" w:hint="eastAsia"/>
          <w:sz w:val="32"/>
          <w:szCs w:val="32"/>
        </w:rPr>
        <w:t>万元。</w:t>
      </w:r>
      <w:r>
        <w:rPr>
          <w:rStyle w:val="NormalCharacter"/>
          <w:rFonts w:ascii="Times New Roman" w:eastAsia="仿宋_GB2312" w:hAnsi="Times New Roman"/>
          <w:sz w:val="32"/>
          <w:szCs w:val="32"/>
        </w:rPr>
        <w:t xml:space="preserve"> </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lastRenderedPageBreak/>
        <w:t>3</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一般公共服务（类）其他一般公共服务（款）其他一般公共服务（项）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0</w:t>
      </w:r>
      <w:r>
        <w:rPr>
          <w:rStyle w:val="NormalCharacter"/>
          <w:rFonts w:ascii="Times New Roman" w:eastAsia="仿宋_GB2312" w:hAnsi="Times New Roman"/>
          <w:sz w:val="32"/>
          <w:szCs w:val="32"/>
        </w:rPr>
        <w:t>元，支出决算为</w:t>
      </w:r>
      <w:r>
        <w:rPr>
          <w:rStyle w:val="NormalCharacter"/>
          <w:rFonts w:ascii="Times New Roman" w:eastAsia="仿宋_GB2312" w:hAnsi="Times New Roman"/>
          <w:sz w:val="32"/>
          <w:szCs w:val="32"/>
        </w:rPr>
        <w:t>2.3</w:t>
      </w:r>
      <w:r>
        <w:rPr>
          <w:rStyle w:val="NormalCharacter"/>
          <w:rFonts w:ascii="Times New Roman" w:eastAsia="仿宋_GB2312" w:hAnsi="Times New Roman"/>
          <w:sz w:val="32"/>
          <w:szCs w:val="32"/>
        </w:rPr>
        <w:t>万元，决算数大于年初预算数的主要原因是：</w:t>
      </w:r>
      <w:r>
        <w:rPr>
          <w:rStyle w:val="NormalCharacter"/>
          <w:rFonts w:ascii="Times New Roman" w:eastAsia="仿宋_GB2312" w:hAnsi="Times New Roman" w:hint="eastAsia"/>
          <w:sz w:val="32"/>
          <w:szCs w:val="32"/>
        </w:rPr>
        <w:t>去年结转资金。</w:t>
      </w:r>
      <w:r>
        <w:rPr>
          <w:rStyle w:val="NormalCharacter"/>
          <w:rFonts w:ascii="Times New Roman" w:eastAsia="仿宋_GB2312" w:hAnsi="Times New Roman"/>
          <w:sz w:val="32"/>
          <w:szCs w:val="32"/>
        </w:rPr>
        <w:t xml:space="preserve"> </w:t>
      </w:r>
    </w:p>
    <w:p w:rsidR="00740256" w:rsidRDefault="00F8504F">
      <w:pPr>
        <w:pStyle w:val="UserStyle0"/>
        <w:adjustRightInd w:val="0"/>
        <w:snapToGrid w:val="0"/>
        <w:spacing w:line="600" w:lineRule="exact"/>
        <w:ind w:firstLineChars="200" w:firstLine="616"/>
        <w:rPr>
          <w:rStyle w:val="NormalCharacter"/>
          <w:rFonts w:ascii="Times New Roman" w:eastAsia="仿宋_GB2312" w:hAnsi="Times New Roman"/>
          <w:spacing w:val="-6"/>
          <w:sz w:val="32"/>
          <w:szCs w:val="32"/>
        </w:rPr>
      </w:pPr>
      <w:r>
        <w:rPr>
          <w:rStyle w:val="NormalCharacter"/>
          <w:rFonts w:ascii="Times New Roman" w:eastAsia="仿宋_GB2312" w:hAnsi="Times New Roman"/>
          <w:spacing w:val="-6"/>
          <w:sz w:val="32"/>
          <w:szCs w:val="32"/>
        </w:rPr>
        <w:t>4</w:t>
      </w:r>
      <w:r>
        <w:rPr>
          <w:rFonts w:ascii="Times New Roman" w:eastAsia="仿宋_GB2312" w:hAnsi="Times New Roman" w:hint="eastAsia"/>
          <w:sz w:val="32"/>
          <w:szCs w:val="32"/>
          <w:lang w:val="en-GB"/>
        </w:rPr>
        <w:t>．</w:t>
      </w:r>
      <w:r>
        <w:rPr>
          <w:rStyle w:val="NormalCharacter"/>
          <w:rFonts w:ascii="Times New Roman" w:eastAsia="仿宋_GB2312" w:hAnsi="Times New Roman"/>
          <w:spacing w:val="-6"/>
          <w:sz w:val="32"/>
          <w:szCs w:val="32"/>
        </w:rPr>
        <w:t>社会保障和就业支出（类）人力资源和社会保障管理事务（款）社会保险经办机构（项）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0</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1.19</w:t>
      </w:r>
      <w:r>
        <w:rPr>
          <w:rStyle w:val="NormalCharacter"/>
          <w:rFonts w:ascii="Times New Roman" w:eastAsia="仿宋_GB2312" w:hAnsi="Times New Roman"/>
          <w:sz w:val="32"/>
          <w:szCs w:val="32"/>
        </w:rPr>
        <w:t>万元，决算数大于年初预算数的主要原因是：</w:t>
      </w:r>
      <w:r>
        <w:rPr>
          <w:rStyle w:val="NormalCharacter"/>
          <w:rFonts w:ascii="Times New Roman" w:eastAsia="仿宋_GB2312" w:hAnsi="Times New Roman" w:hint="eastAsia"/>
          <w:sz w:val="32"/>
          <w:szCs w:val="32"/>
        </w:rPr>
        <w:t>追加工伤保险费用</w:t>
      </w:r>
      <w:r>
        <w:rPr>
          <w:rStyle w:val="NormalCharacter"/>
          <w:rFonts w:ascii="Times New Roman" w:eastAsia="仿宋_GB2312" w:hAnsi="Times New Roman"/>
          <w:sz w:val="32"/>
          <w:szCs w:val="32"/>
        </w:rPr>
        <w:t>。</w:t>
      </w:r>
    </w:p>
    <w:p w:rsidR="00740256" w:rsidRDefault="00F8504F">
      <w:pPr>
        <w:pStyle w:val="UserStyle0"/>
        <w:adjustRightInd w:val="0"/>
        <w:snapToGrid w:val="0"/>
        <w:spacing w:line="600" w:lineRule="exact"/>
        <w:ind w:firstLineChars="200" w:firstLine="616"/>
        <w:rPr>
          <w:rStyle w:val="NormalCharacter"/>
          <w:rFonts w:ascii="Times New Roman" w:eastAsia="仿宋_GB2312" w:hAnsi="Times New Roman"/>
          <w:spacing w:val="-6"/>
          <w:sz w:val="32"/>
          <w:szCs w:val="32"/>
        </w:rPr>
      </w:pPr>
      <w:r>
        <w:rPr>
          <w:rStyle w:val="NormalCharacter"/>
          <w:rFonts w:ascii="Times New Roman" w:eastAsia="仿宋_GB2312" w:hAnsi="Times New Roman"/>
          <w:spacing w:val="-6"/>
          <w:sz w:val="32"/>
          <w:szCs w:val="32"/>
        </w:rPr>
        <w:t>5</w:t>
      </w:r>
      <w:r>
        <w:rPr>
          <w:rFonts w:ascii="Times New Roman" w:eastAsia="仿宋_GB2312" w:hAnsi="Times New Roman" w:hint="eastAsia"/>
          <w:sz w:val="32"/>
          <w:szCs w:val="32"/>
          <w:lang w:val="en-GB"/>
        </w:rPr>
        <w:t>．</w:t>
      </w:r>
      <w:r>
        <w:rPr>
          <w:rStyle w:val="NormalCharacter"/>
          <w:rFonts w:ascii="Times New Roman" w:eastAsia="仿宋_GB2312" w:hAnsi="Times New Roman"/>
          <w:spacing w:val="-6"/>
          <w:sz w:val="32"/>
          <w:szCs w:val="32"/>
        </w:rPr>
        <w:t>社会保障和就业支出（类）行政事业单位</w:t>
      </w:r>
      <w:r>
        <w:rPr>
          <w:rStyle w:val="NormalCharacter"/>
          <w:rFonts w:ascii="Times New Roman" w:eastAsia="仿宋_GB2312" w:hAnsi="Times New Roman" w:hint="eastAsia"/>
          <w:spacing w:val="-6"/>
          <w:sz w:val="32"/>
          <w:szCs w:val="32"/>
        </w:rPr>
        <w:t>养老支出</w:t>
      </w:r>
      <w:r>
        <w:rPr>
          <w:rStyle w:val="NormalCharacter"/>
          <w:rFonts w:ascii="Times New Roman" w:eastAsia="仿宋_GB2312" w:hAnsi="Times New Roman"/>
          <w:spacing w:val="-6"/>
          <w:sz w:val="32"/>
          <w:szCs w:val="32"/>
        </w:rPr>
        <w:t>（款）行政事业单位离退休（项）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6.34</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27.24</w:t>
      </w:r>
      <w:r>
        <w:rPr>
          <w:rStyle w:val="NormalCharacter"/>
          <w:rFonts w:ascii="Times New Roman" w:eastAsia="仿宋_GB2312" w:hAnsi="Times New Roman"/>
          <w:sz w:val="32"/>
          <w:szCs w:val="32"/>
        </w:rPr>
        <w:t>万元，完成年初预算的</w:t>
      </w:r>
      <w:r>
        <w:rPr>
          <w:rStyle w:val="NormalCharacter"/>
          <w:rFonts w:ascii="Times New Roman" w:eastAsia="仿宋_GB2312" w:hAnsi="Times New Roman"/>
          <w:sz w:val="32"/>
          <w:szCs w:val="32"/>
        </w:rPr>
        <w:t>429%</w:t>
      </w:r>
      <w:r>
        <w:rPr>
          <w:rStyle w:val="NormalCharacter"/>
          <w:rFonts w:ascii="Times New Roman" w:eastAsia="仿宋_GB2312" w:hAnsi="Times New Roman"/>
          <w:sz w:val="32"/>
          <w:szCs w:val="32"/>
        </w:rPr>
        <w:t>，决算数大于年初预算数的主要原因是：退休人员增加、退休费增加、发放各项福利和奖金。</w:t>
      </w:r>
    </w:p>
    <w:p w:rsidR="00740256" w:rsidRDefault="00F8504F">
      <w:pPr>
        <w:pStyle w:val="UserStyle0"/>
        <w:adjustRightInd w:val="0"/>
        <w:snapToGrid w:val="0"/>
        <w:spacing w:line="600" w:lineRule="exact"/>
        <w:ind w:firstLineChars="200" w:firstLine="616"/>
        <w:rPr>
          <w:rStyle w:val="NormalCharacter"/>
          <w:rFonts w:ascii="Times New Roman" w:eastAsia="仿宋_GB2312" w:hAnsi="Times New Roman"/>
          <w:spacing w:val="-6"/>
          <w:sz w:val="32"/>
          <w:szCs w:val="32"/>
        </w:rPr>
      </w:pPr>
      <w:r>
        <w:rPr>
          <w:rStyle w:val="NormalCharacter"/>
          <w:rFonts w:ascii="Times New Roman" w:eastAsia="仿宋_GB2312" w:hAnsi="Times New Roman"/>
          <w:spacing w:val="-6"/>
          <w:sz w:val="32"/>
          <w:szCs w:val="32"/>
        </w:rPr>
        <w:t>6</w:t>
      </w:r>
      <w:r>
        <w:rPr>
          <w:rFonts w:ascii="Times New Roman" w:eastAsia="仿宋_GB2312" w:hAnsi="Times New Roman" w:hint="eastAsia"/>
          <w:sz w:val="32"/>
          <w:szCs w:val="32"/>
          <w:lang w:val="en-GB"/>
        </w:rPr>
        <w:t>．</w:t>
      </w:r>
      <w:r>
        <w:rPr>
          <w:rStyle w:val="NormalCharacter"/>
          <w:rFonts w:ascii="Times New Roman" w:eastAsia="仿宋_GB2312" w:hAnsi="Times New Roman"/>
          <w:spacing w:val="-6"/>
          <w:sz w:val="32"/>
          <w:szCs w:val="32"/>
        </w:rPr>
        <w:t>社会保障和就业支出（类）行政事业单位</w:t>
      </w:r>
      <w:r>
        <w:rPr>
          <w:rStyle w:val="NormalCharacter"/>
          <w:rFonts w:ascii="Times New Roman" w:eastAsia="仿宋_GB2312" w:hAnsi="Times New Roman" w:hint="eastAsia"/>
          <w:spacing w:val="-6"/>
          <w:sz w:val="32"/>
          <w:szCs w:val="32"/>
        </w:rPr>
        <w:t>养老支出</w:t>
      </w:r>
      <w:r>
        <w:rPr>
          <w:rStyle w:val="NormalCharacter"/>
          <w:rFonts w:ascii="Times New Roman" w:eastAsia="仿宋_GB2312" w:hAnsi="Times New Roman"/>
          <w:spacing w:val="-6"/>
          <w:sz w:val="32"/>
          <w:szCs w:val="32"/>
        </w:rPr>
        <w:t>（款）机关事业单位基本养老保险缴费支出（项）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28.43</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28.43</w:t>
      </w:r>
      <w:r>
        <w:rPr>
          <w:rStyle w:val="NormalCharacter"/>
          <w:rFonts w:ascii="Times New Roman" w:eastAsia="仿宋_GB2312" w:hAnsi="Times New Roman"/>
          <w:sz w:val="32"/>
          <w:szCs w:val="32"/>
        </w:rPr>
        <w:t>万元，完成年初预算的</w:t>
      </w:r>
      <w:r>
        <w:rPr>
          <w:rStyle w:val="NormalCharacter"/>
          <w:rFonts w:ascii="Times New Roman" w:eastAsia="仿宋_GB2312" w:hAnsi="Times New Roman"/>
          <w:sz w:val="32"/>
          <w:szCs w:val="32"/>
        </w:rPr>
        <w:t>100%</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 xml:space="preserve"> </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7</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 xml:space="preserve"> </w:t>
      </w:r>
      <w:r>
        <w:rPr>
          <w:rStyle w:val="NormalCharacter"/>
          <w:rFonts w:ascii="Times New Roman" w:eastAsia="仿宋_GB2312" w:hAnsi="Times New Roman"/>
          <w:sz w:val="32"/>
          <w:szCs w:val="32"/>
        </w:rPr>
        <w:t>卫生健康支出（类）行政事业单位医疗（款）行政单位医疗（项）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12.44</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12.44</w:t>
      </w:r>
      <w:r>
        <w:rPr>
          <w:rStyle w:val="NormalCharacter"/>
          <w:rFonts w:ascii="Times New Roman" w:eastAsia="仿宋_GB2312" w:hAnsi="Times New Roman"/>
          <w:sz w:val="32"/>
          <w:szCs w:val="32"/>
        </w:rPr>
        <w:t>万元，完成年初预算的</w:t>
      </w:r>
      <w:r>
        <w:rPr>
          <w:rStyle w:val="NormalCharacter"/>
          <w:rFonts w:ascii="Times New Roman" w:eastAsia="仿宋_GB2312" w:hAnsi="Times New Roman"/>
          <w:sz w:val="32"/>
          <w:szCs w:val="32"/>
        </w:rPr>
        <w:t>100%</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 xml:space="preserve"> </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hint="eastAsia"/>
          <w:sz w:val="32"/>
          <w:szCs w:val="32"/>
        </w:rPr>
        <w:t>8</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农林水支出（类）农业农村（款）行政运行（项）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lastRenderedPageBreak/>
        <w:t>年初预算为</w:t>
      </w:r>
      <w:r>
        <w:rPr>
          <w:rStyle w:val="NormalCharacter"/>
          <w:rFonts w:ascii="Times New Roman" w:eastAsia="仿宋_GB2312" w:hAnsi="Times New Roman"/>
          <w:sz w:val="32"/>
          <w:szCs w:val="32"/>
        </w:rPr>
        <w:t>0</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4.25</w:t>
      </w:r>
      <w:r>
        <w:rPr>
          <w:rStyle w:val="NormalCharacter"/>
          <w:rFonts w:ascii="Times New Roman" w:eastAsia="仿宋_GB2312" w:hAnsi="Times New Roman"/>
          <w:sz w:val="32"/>
          <w:szCs w:val="32"/>
        </w:rPr>
        <w:t>万元，决算数大于年初预算数的主要原因是：</w:t>
      </w:r>
      <w:r w:rsidR="00075D80">
        <w:rPr>
          <w:rStyle w:val="NormalCharacter"/>
          <w:rFonts w:ascii="Times New Roman" w:eastAsia="仿宋_GB2312" w:hAnsi="Times New Roman" w:hint="eastAsia"/>
          <w:sz w:val="32"/>
          <w:szCs w:val="32"/>
        </w:rPr>
        <w:t>追加预算</w:t>
      </w:r>
      <w:r>
        <w:rPr>
          <w:rStyle w:val="NormalCharacter"/>
          <w:rFonts w:ascii="Times New Roman" w:eastAsia="仿宋_GB2312" w:hAnsi="Times New Roman" w:hint="eastAsia"/>
          <w:sz w:val="32"/>
          <w:szCs w:val="32"/>
        </w:rPr>
        <w:t>十三个月工资</w:t>
      </w:r>
      <w:r>
        <w:rPr>
          <w:rStyle w:val="NormalCharacter"/>
          <w:rFonts w:ascii="Times New Roman" w:eastAsia="仿宋_GB2312" w:hAnsi="Times New Roman"/>
          <w:sz w:val="32"/>
          <w:szCs w:val="32"/>
        </w:rPr>
        <w:t>。</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hint="eastAsia"/>
          <w:sz w:val="32"/>
          <w:szCs w:val="32"/>
        </w:rPr>
        <w:t>9</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农林水支出（类）水利（款）行政运行（项）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237.02</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314.94</w:t>
      </w:r>
      <w:r>
        <w:rPr>
          <w:rStyle w:val="NormalCharacter"/>
          <w:rFonts w:ascii="Times New Roman" w:eastAsia="仿宋_GB2312" w:hAnsi="Times New Roman"/>
          <w:sz w:val="32"/>
          <w:szCs w:val="32"/>
        </w:rPr>
        <w:t>万元，完成年初预算的</w:t>
      </w:r>
      <w:r>
        <w:rPr>
          <w:rStyle w:val="NormalCharacter"/>
          <w:rFonts w:ascii="Times New Roman" w:eastAsia="仿宋_GB2312" w:hAnsi="Times New Roman"/>
          <w:sz w:val="32"/>
          <w:szCs w:val="32"/>
        </w:rPr>
        <w:t>132.87%</w:t>
      </w:r>
      <w:r>
        <w:rPr>
          <w:rStyle w:val="NormalCharacter"/>
          <w:rFonts w:ascii="Times New Roman" w:eastAsia="仿宋_GB2312" w:hAnsi="Times New Roman"/>
          <w:sz w:val="32"/>
          <w:szCs w:val="32"/>
        </w:rPr>
        <w:t>，决算数大于年初预算数的主要原因是：增加人员工资及五个文明绩效考核、省级文明单位、综合治理、民族团结进步等奖励。</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1</w:t>
      </w:r>
      <w:r>
        <w:rPr>
          <w:rStyle w:val="NormalCharacter"/>
          <w:rFonts w:ascii="Times New Roman" w:eastAsia="仿宋_GB2312" w:hAnsi="Times New Roman" w:hint="eastAsia"/>
          <w:sz w:val="32"/>
          <w:szCs w:val="32"/>
        </w:rPr>
        <w:t>0</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农林水支出（类）水利（款）一般行政事务管理（项）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44.2</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68.1</w:t>
      </w:r>
      <w:r>
        <w:rPr>
          <w:rStyle w:val="NormalCharacter"/>
          <w:rFonts w:ascii="Times New Roman" w:eastAsia="仿宋_GB2312" w:hAnsi="Times New Roman"/>
          <w:sz w:val="32"/>
          <w:szCs w:val="32"/>
        </w:rPr>
        <w:t>万元，完成年初预算的</w:t>
      </w:r>
      <w:r>
        <w:rPr>
          <w:rStyle w:val="NormalCharacter"/>
          <w:rFonts w:ascii="Times New Roman" w:eastAsia="仿宋_GB2312" w:hAnsi="Times New Roman"/>
          <w:sz w:val="32"/>
          <w:szCs w:val="32"/>
        </w:rPr>
        <w:t>154.07%</w:t>
      </w:r>
      <w:r>
        <w:rPr>
          <w:rStyle w:val="NormalCharacter"/>
          <w:rFonts w:ascii="Times New Roman" w:eastAsia="仿宋_GB2312" w:hAnsi="Times New Roman"/>
          <w:sz w:val="32"/>
          <w:szCs w:val="32"/>
        </w:rPr>
        <w:t>，决算数大于年初预算数的主要原因是：支出</w:t>
      </w:r>
      <w:r>
        <w:rPr>
          <w:rStyle w:val="NormalCharacter"/>
          <w:rFonts w:ascii="Times New Roman" w:eastAsia="仿宋_GB2312" w:hAnsi="Times New Roman" w:hint="eastAsia"/>
          <w:sz w:val="32"/>
          <w:szCs w:val="32"/>
        </w:rPr>
        <w:t>含</w:t>
      </w:r>
      <w:r>
        <w:rPr>
          <w:rStyle w:val="NormalCharacter"/>
          <w:rFonts w:ascii="Times New Roman" w:eastAsia="仿宋_GB2312" w:hAnsi="Times New Roman"/>
          <w:sz w:val="32"/>
          <w:szCs w:val="32"/>
        </w:rPr>
        <w:t>上年结转资金。</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1</w:t>
      </w:r>
      <w:r>
        <w:rPr>
          <w:rStyle w:val="NormalCharacter"/>
          <w:rFonts w:ascii="Times New Roman" w:eastAsia="仿宋_GB2312" w:hAnsi="Times New Roman" w:hint="eastAsia"/>
          <w:sz w:val="32"/>
          <w:szCs w:val="32"/>
        </w:rPr>
        <w:t>1</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农林水支出（类）水利（款）机关服务（项）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0</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26.31</w:t>
      </w:r>
      <w:r>
        <w:rPr>
          <w:rStyle w:val="NormalCharacter"/>
          <w:rFonts w:ascii="Times New Roman" w:eastAsia="仿宋_GB2312" w:hAnsi="Times New Roman"/>
          <w:sz w:val="32"/>
          <w:szCs w:val="32"/>
        </w:rPr>
        <w:t>万元，决算数大于年初预算数的主要原因是：根据州人民政府常务会议纪要</w:t>
      </w:r>
      <w:r>
        <w:rPr>
          <w:rStyle w:val="NormalCharacter"/>
          <w:rFonts w:ascii="Times New Roman" w:eastAsia="仿宋_GB2312" w:hAnsi="Times New Roman"/>
          <w:sz w:val="32"/>
          <w:szCs w:val="32"/>
        </w:rPr>
        <w:t>2018</w:t>
      </w:r>
      <w:r>
        <w:rPr>
          <w:rStyle w:val="NormalCharacter"/>
          <w:rFonts w:ascii="Times New Roman" w:eastAsia="仿宋_GB2312" w:hAnsi="Times New Roman"/>
          <w:sz w:val="32"/>
          <w:szCs w:val="32"/>
        </w:rPr>
        <w:t>年第</w:t>
      </w:r>
      <w:r>
        <w:rPr>
          <w:rStyle w:val="NormalCharacter"/>
          <w:rFonts w:ascii="Times New Roman" w:eastAsia="仿宋_GB2312" w:hAnsi="Times New Roman"/>
          <w:sz w:val="32"/>
          <w:szCs w:val="32"/>
        </w:rPr>
        <w:t>20</w:t>
      </w:r>
      <w:r>
        <w:rPr>
          <w:rStyle w:val="NormalCharacter"/>
          <w:rFonts w:ascii="Times New Roman" w:eastAsia="仿宋_GB2312" w:hAnsi="Times New Roman"/>
          <w:sz w:val="32"/>
          <w:szCs w:val="32"/>
        </w:rPr>
        <w:t>次（</w:t>
      </w:r>
      <w:r>
        <w:rPr>
          <w:rStyle w:val="NormalCharacter"/>
          <w:rFonts w:ascii="Times New Roman" w:eastAsia="仿宋_GB2312" w:hAnsi="Times New Roman"/>
          <w:sz w:val="32"/>
          <w:szCs w:val="32"/>
        </w:rPr>
        <w:t>06</w:t>
      </w:r>
      <w:r>
        <w:rPr>
          <w:rStyle w:val="NormalCharacter"/>
          <w:rFonts w:ascii="Times New Roman" w:eastAsia="仿宋_GB2312" w:hAnsi="Times New Roman"/>
          <w:sz w:val="32"/>
          <w:szCs w:val="32"/>
        </w:rPr>
        <w:t>），增加移民项目实施管理费。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1</w:t>
      </w:r>
      <w:r>
        <w:rPr>
          <w:rStyle w:val="NormalCharacter"/>
          <w:rFonts w:ascii="Times New Roman" w:eastAsia="仿宋_GB2312" w:hAnsi="Times New Roman" w:hint="eastAsia"/>
          <w:sz w:val="32"/>
          <w:szCs w:val="32"/>
        </w:rPr>
        <w:t>2</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农林水支出（类）水利（款）大中型水库移民后期扶持专项支出（项）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0</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78.59</w:t>
      </w:r>
      <w:r>
        <w:rPr>
          <w:rStyle w:val="NormalCharacter"/>
          <w:rFonts w:ascii="Times New Roman" w:eastAsia="仿宋_GB2312" w:hAnsi="Times New Roman"/>
          <w:sz w:val="32"/>
          <w:szCs w:val="32"/>
        </w:rPr>
        <w:t>万元，决算数大于年初预算数的主要原因是：省中心下达移民资金绩效评价等工作专项经费。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hint="eastAsia"/>
          <w:sz w:val="32"/>
          <w:szCs w:val="32"/>
        </w:rPr>
        <w:lastRenderedPageBreak/>
        <w:t>13</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农林水支出（类）水利（款）其他水利支出（项）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sidR="00EC4987">
        <w:rPr>
          <w:rStyle w:val="NormalCharacter"/>
          <w:rFonts w:ascii="Times New Roman" w:eastAsia="仿宋_GB2312" w:hAnsi="Times New Roman" w:hint="eastAsia"/>
          <w:sz w:val="32"/>
          <w:szCs w:val="32"/>
        </w:rPr>
        <w:t>0</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46</w:t>
      </w:r>
      <w:r>
        <w:rPr>
          <w:rStyle w:val="NormalCharacter"/>
          <w:rFonts w:ascii="Times New Roman" w:eastAsia="仿宋_GB2312" w:hAnsi="Times New Roman"/>
          <w:sz w:val="32"/>
          <w:szCs w:val="32"/>
        </w:rPr>
        <w:t>万元，决算数大于年初预算数的主要原因是：省中心下达移民工作经费补助</w:t>
      </w:r>
      <w:r>
        <w:rPr>
          <w:rStyle w:val="NormalCharacter"/>
          <w:rFonts w:ascii="Times New Roman" w:eastAsia="仿宋_GB2312" w:hAnsi="Times New Roman"/>
          <w:sz w:val="32"/>
          <w:szCs w:val="32"/>
        </w:rPr>
        <w:t>26</w:t>
      </w:r>
      <w:r>
        <w:rPr>
          <w:rStyle w:val="NormalCharacter"/>
          <w:rFonts w:ascii="Times New Roman" w:eastAsia="仿宋_GB2312" w:hAnsi="Times New Roman"/>
          <w:sz w:val="32"/>
          <w:szCs w:val="32"/>
        </w:rPr>
        <w:t>万元，州财政拨</w:t>
      </w:r>
      <w:r>
        <w:rPr>
          <w:rStyle w:val="NormalCharacter"/>
          <w:rFonts w:ascii="Times New Roman" w:eastAsia="仿宋_GB2312" w:hAnsi="Times New Roman"/>
          <w:sz w:val="32"/>
          <w:szCs w:val="32"/>
        </w:rPr>
        <w:t>2019</w:t>
      </w:r>
      <w:r>
        <w:rPr>
          <w:rStyle w:val="NormalCharacter"/>
          <w:rFonts w:ascii="Times New Roman" w:eastAsia="仿宋_GB2312" w:hAnsi="Times New Roman"/>
          <w:sz w:val="32"/>
          <w:szCs w:val="32"/>
        </w:rPr>
        <w:t>年办公楼维修结余资金</w:t>
      </w:r>
      <w:r>
        <w:rPr>
          <w:rStyle w:val="NormalCharacter"/>
          <w:rFonts w:ascii="Times New Roman" w:eastAsia="仿宋_GB2312" w:hAnsi="Times New Roman"/>
          <w:sz w:val="32"/>
          <w:szCs w:val="32"/>
        </w:rPr>
        <w:t>20</w:t>
      </w:r>
      <w:r>
        <w:rPr>
          <w:rStyle w:val="NormalCharacter"/>
          <w:rFonts w:ascii="Times New Roman" w:eastAsia="仿宋_GB2312" w:hAnsi="Times New Roman"/>
          <w:sz w:val="32"/>
          <w:szCs w:val="32"/>
        </w:rPr>
        <w:t>万元。</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1</w:t>
      </w:r>
      <w:r>
        <w:rPr>
          <w:rStyle w:val="NormalCharacter"/>
          <w:rFonts w:ascii="Times New Roman" w:eastAsia="仿宋_GB2312" w:hAnsi="Times New Roman" w:hint="eastAsia"/>
          <w:sz w:val="32"/>
          <w:szCs w:val="32"/>
        </w:rPr>
        <w:t>4</w:t>
      </w:r>
      <w:r>
        <w:rPr>
          <w:rFonts w:ascii="Times New Roman" w:eastAsia="仿宋_GB2312" w:hAnsi="Times New Roman" w:hint="eastAsia"/>
          <w:sz w:val="32"/>
          <w:szCs w:val="32"/>
          <w:lang w:val="en-GB"/>
        </w:rPr>
        <w:t>．</w:t>
      </w:r>
      <w:r>
        <w:rPr>
          <w:rStyle w:val="NormalCharacter"/>
          <w:rFonts w:ascii="Times New Roman" w:eastAsia="仿宋_GB2312" w:hAnsi="Times New Roman"/>
          <w:sz w:val="32"/>
          <w:szCs w:val="32"/>
        </w:rPr>
        <w:t>住房保障支出（类）住房改革支出（款）住房公积金（项）</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年初预算为</w:t>
      </w:r>
      <w:r>
        <w:rPr>
          <w:rStyle w:val="NormalCharacter"/>
          <w:rFonts w:ascii="Times New Roman" w:eastAsia="仿宋_GB2312" w:hAnsi="Times New Roman"/>
          <w:sz w:val="32"/>
          <w:szCs w:val="32"/>
        </w:rPr>
        <w:t>21.32</w:t>
      </w:r>
      <w:r>
        <w:rPr>
          <w:rStyle w:val="NormalCharacter"/>
          <w:rFonts w:ascii="Times New Roman" w:eastAsia="仿宋_GB2312" w:hAnsi="Times New Roman"/>
          <w:sz w:val="32"/>
          <w:szCs w:val="32"/>
        </w:rPr>
        <w:t>万元，支出决算为</w:t>
      </w:r>
      <w:r>
        <w:rPr>
          <w:rStyle w:val="NormalCharacter"/>
          <w:rFonts w:ascii="Times New Roman" w:eastAsia="仿宋_GB2312" w:hAnsi="Times New Roman"/>
          <w:sz w:val="32"/>
          <w:szCs w:val="32"/>
        </w:rPr>
        <w:t>21.32</w:t>
      </w:r>
      <w:r>
        <w:rPr>
          <w:rStyle w:val="NormalCharacter"/>
          <w:rFonts w:ascii="Times New Roman" w:eastAsia="仿宋_GB2312" w:hAnsi="Times New Roman"/>
          <w:sz w:val="32"/>
          <w:szCs w:val="32"/>
        </w:rPr>
        <w:t>万元完成年初预算的</w:t>
      </w:r>
      <w:r>
        <w:rPr>
          <w:rStyle w:val="NormalCharacter"/>
          <w:rFonts w:ascii="Times New Roman" w:eastAsia="仿宋_GB2312" w:hAnsi="Times New Roman"/>
          <w:sz w:val="32"/>
          <w:szCs w:val="32"/>
        </w:rPr>
        <w:t>100%</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 xml:space="preserve"> </w:t>
      </w:r>
    </w:p>
    <w:p w:rsidR="00740256" w:rsidRDefault="00F8504F">
      <w:pPr>
        <w:pStyle w:val="Default"/>
        <w:snapToGrid w:val="0"/>
        <w:spacing w:line="600" w:lineRule="exact"/>
        <w:ind w:firstLineChars="200" w:firstLine="640"/>
        <w:rPr>
          <w:rFonts w:ascii="Times New Roman" w:eastAsia="仿宋_GB2312" w:hAnsi="Times New Roman" w:cs="Times New Roman"/>
          <w:b/>
          <w:sz w:val="32"/>
          <w:szCs w:val="32"/>
        </w:rPr>
      </w:pPr>
      <w:r>
        <w:rPr>
          <w:rFonts w:hAnsi="黑体" w:hint="eastAsia"/>
          <w:bCs/>
          <w:sz w:val="32"/>
          <w:szCs w:val="32"/>
        </w:rPr>
        <w:t>六、一般公共预算财政拨款基本支出决算情况说明</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年度财政拨款基本支出</w:t>
      </w:r>
      <w:r>
        <w:rPr>
          <w:rFonts w:ascii="Times New Roman" w:eastAsia="仿宋_GB2312" w:hAnsi="Times New Roman" w:cs="Times New Roman"/>
          <w:sz w:val="32"/>
          <w:szCs w:val="32"/>
        </w:rPr>
        <w:t>435.81</w:t>
      </w:r>
      <w:r>
        <w:rPr>
          <w:rFonts w:ascii="Times New Roman" w:eastAsia="仿宋_GB2312" w:hAnsi="Times New Roman" w:cs="Times New Roman"/>
          <w:sz w:val="32"/>
          <w:szCs w:val="32"/>
        </w:rPr>
        <w:t>万元，其中：人员经费</w:t>
      </w:r>
      <w:r>
        <w:rPr>
          <w:rFonts w:ascii="Times New Roman" w:eastAsia="仿宋_GB2312" w:hAnsi="Times New Roman" w:cs="Times New Roman"/>
          <w:sz w:val="32"/>
          <w:szCs w:val="32"/>
        </w:rPr>
        <w:t>379.22</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sz w:val="32"/>
          <w:szCs w:val="32"/>
        </w:rPr>
        <w:t>87.02%,</w:t>
      </w:r>
      <w:r>
        <w:rPr>
          <w:rFonts w:ascii="Times New Roman" w:eastAsia="仿宋_GB2312" w:hAnsi="Times New Roman" w:cs="Times New Roman"/>
          <w:sz w:val="32"/>
          <w:szCs w:val="32"/>
        </w:rPr>
        <w:t>主要包括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本工资、津贴补贴、奖金、伙食补助费、机关事业单位基本养老保险缴费、职业年金缴费、职工基本医疗保险缴费、其他社会保障缴费、住房公积金、医疗费、其他工资福利支出、退休费、生活补助、医疗费补助、奖励金、其他对个人和家庭的补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公用经费</w:t>
      </w:r>
      <w:r>
        <w:rPr>
          <w:rFonts w:ascii="Times New Roman" w:eastAsia="仿宋_GB2312" w:hAnsi="Times New Roman" w:cs="Times New Roman"/>
          <w:sz w:val="32"/>
          <w:szCs w:val="32"/>
        </w:rPr>
        <w:t>56.59</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sz w:val="32"/>
          <w:szCs w:val="32"/>
        </w:rPr>
        <w:t>12.98%</w:t>
      </w:r>
      <w:r>
        <w:rPr>
          <w:rFonts w:ascii="Times New Roman" w:eastAsia="仿宋_GB2312" w:hAnsi="Times New Roman" w:cs="Times New Roman"/>
          <w:sz w:val="32"/>
          <w:szCs w:val="32"/>
        </w:rPr>
        <w:t>，主要包括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办公费、印刷费、咨询费、手续费、水费、电费、邮电费、取暖费、差旅费、维修（护）费、会议费、培训费、公务接待费、劳务费、工会经费、福利费、公务用车运行维护费、其他交通费用、其他商品和服务支出。</w:t>
      </w:r>
    </w:p>
    <w:p w:rsidR="00740256" w:rsidRDefault="00F8504F">
      <w:pPr>
        <w:pStyle w:val="Default"/>
        <w:snapToGrid w:val="0"/>
        <w:spacing w:line="600" w:lineRule="exact"/>
        <w:ind w:firstLineChars="200" w:firstLine="640"/>
        <w:rPr>
          <w:rFonts w:ascii="Times New Roman" w:eastAsia="仿宋_GB2312" w:hAnsi="Times New Roman" w:cs="Times New Roman"/>
          <w:b/>
          <w:sz w:val="32"/>
          <w:szCs w:val="32"/>
        </w:rPr>
      </w:pPr>
      <w:r>
        <w:rPr>
          <w:rFonts w:hAnsi="黑体" w:hint="eastAsia"/>
          <w:bCs/>
          <w:sz w:val="32"/>
          <w:szCs w:val="32"/>
        </w:rPr>
        <w:t>七、一般公共预算财政拨款三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（一）“三公”经费财政拨款支出决算总体情况说明</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lastRenderedPageBreak/>
        <w:t>“三公”经</w:t>
      </w:r>
      <w:r>
        <w:rPr>
          <w:rFonts w:ascii="Times New Roman" w:eastAsia="仿宋_GB2312" w:hAnsi="Times New Roman" w:cs="Times New Roman"/>
          <w:sz w:val="32"/>
          <w:szCs w:val="32"/>
        </w:rPr>
        <w:t>费财政拨款支出预算为</w:t>
      </w:r>
      <w:r>
        <w:rPr>
          <w:rFonts w:ascii="Times New Roman" w:eastAsia="仿宋_GB2312" w:hAnsi="Times New Roman" w:cs="Times New Roman"/>
          <w:sz w:val="32"/>
          <w:szCs w:val="32"/>
        </w:rPr>
        <w:t>11.8</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11.01</w:t>
      </w:r>
      <w:r>
        <w:rPr>
          <w:rFonts w:ascii="Times New Roman" w:eastAsia="仿宋_GB2312" w:hAnsi="Times New Roman" w:cs="Times New Roman"/>
          <w:sz w:val="32"/>
          <w:szCs w:val="32"/>
        </w:rPr>
        <w:t>万元，完成预算的</w:t>
      </w:r>
      <w:r>
        <w:rPr>
          <w:rFonts w:ascii="Times New Roman" w:eastAsia="仿宋_GB2312" w:hAnsi="Times New Roman" w:cs="Times New Roman"/>
          <w:sz w:val="32"/>
          <w:szCs w:val="32"/>
        </w:rPr>
        <w:t>93.31%</w:t>
      </w:r>
      <w:r>
        <w:rPr>
          <w:rFonts w:ascii="Times New Roman" w:eastAsia="仿宋_GB2312" w:hAnsi="Times New Roman" w:cs="Times New Roman"/>
          <w:sz w:val="32"/>
          <w:szCs w:val="32"/>
        </w:rPr>
        <w:t>，其中：</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因公出国（境）费支出预算为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万元，上年预算决算数均为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公务接待费支出预算为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万元，支出决算为</w:t>
      </w:r>
      <w:r>
        <w:rPr>
          <w:rFonts w:ascii="Times New Roman" w:eastAsia="仿宋_GB2312" w:hAnsi="Times New Roman" w:cs="Times New Roman"/>
          <w:sz w:val="32"/>
          <w:szCs w:val="32"/>
        </w:rPr>
        <w:t>6.21</w:t>
      </w:r>
      <w:r>
        <w:rPr>
          <w:rFonts w:ascii="Times New Roman" w:eastAsia="仿宋_GB2312" w:hAnsi="Times New Roman" w:cs="Times New Roman"/>
          <w:sz w:val="32"/>
          <w:szCs w:val="32"/>
        </w:rPr>
        <w:t>万元，完成预算的</w:t>
      </w:r>
      <w:r>
        <w:rPr>
          <w:rFonts w:ascii="Times New Roman" w:eastAsia="仿宋_GB2312" w:hAnsi="Times New Roman" w:cs="Times New Roman"/>
          <w:sz w:val="32"/>
          <w:szCs w:val="32"/>
        </w:rPr>
        <w:t>88.72%</w:t>
      </w:r>
      <w:r>
        <w:rPr>
          <w:rFonts w:ascii="Times New Roman" w:eastAsia="仿宋_GB2312" w:hAnsi="Times New Roman" w:cs="Times New Roman"/>
          <w:sz w:val="32"/>
          <w:szCs w:val="32"/>
        </w:rPr>
        <w:t>，决算数小于年初预算数的主要原因是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贯彻中央八项规定精神，</w:t>
      </w:r>
      <w:r>
        <w:rPr>
          <w:rStyle w:val="NormalCharacter"/>
          <w:rFonts w:ascii="Times New Roman" w:eastAsia="仿宋_GB2312" w:hAnsi="Times New Roman" w:cs="Times New Roman"/>
          <w:sz w:val="32"/>
          <w:szCs w:val="32"/>
        </w:rPr>
        <w:t>节约开支，减少接待。</w:t>
      </w:r>
      <w:r>
        <w:rPr>
          <w:rFonts w:ascii="Times New Roman" w:eastAsia="仿宋_GB2312" w:hAnsi="Times New Roman" w:cs="Times New Roman"/>
          <w:sz w:val="32"/>
          <w:szCs w:val="32"/>
        </w:rPr>
        <w:t>与上年相比增加</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37.69%,</w:t>
      </w:r>
      <w:r>
        <w:rPr>
          <w:rFonts w:ascii="Times New Roman" w:eastAsia="仿宋_GB2312" w:hAnsi="Times New Roman" w:cs="Times New Roman"/>
          <w:sz w:val="32"/>
          <w:szCs w:val="32"/>
        </w:rPr>
        <w:t>增长的主要原因是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加强对县市管理，县市汇报次数增多，接待任务加大。</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Fonts w:ascii="Times New Roman" w:eastAsia="仿宋_GB2312" w:hAnsi="Times New Roman"/>
          <w:sz w:val="32"/>
          <w:szCs w:val="32"/>
        </w:rPr>
        <w:t>公务用车购置费及运行维护费支出预算为</w:t>
      </w:r>
      <w:r>
        <w:rPr>
          <w:rFonts w:ascii="Times New Roman" w:eastAsia="仿宋_GB2312" w:hAnsi="Times New Roman"/>
          <w:sz w:val="32"/>
          <w:szCs w:val="32"/>
        </w:rPr>
        <w:t>4.8</w:t>
      </w:r>
      <w:r>
        <w:rPr>
          <w:rFonts w:ascii="Times New Roman" w:eastAsia="仿宋_GB2312" w:hAnsi="Times New Roman"/>
          <w:sz w:val="32"/>
          <w:szCs w:val="32"/>
        </w:rPr>
        <w:t>万元，支出决算为</w:t>
      </w:r>
      <w:r>
        <w:rPr>
          <w:rFonts w:ascii="Times New Roman" w:eastAsia="仿宋_GB2312" w:hAnsi="Times New Roman"/>
          <w:sz w:val="32"/>
          <w:szCs w:val="32"/>
        </w:rPr>
        <w:t>4.8</w:t>
      </w:r>
      <w:r>
        <w:rPr>
          <w:rFonts w:ascii="Times New Roman" w:eastAsia="仿宋_GB2312" w:hAnsi="Times New Roman"/>
          <w:sz w:val="32"/>
          <w:szCs w:val="32"/>
        </w:rPr>
        <w:t>万元，完成预算的</w:t>
      </w:r>
      <w:r>
        <w:rPr>
          <w:rFonts w:ascii="Times New Roman" w:eastAsia="仿宋_GB2312" w:hAnsi="Times New Roman"/>
          <w:sz w:val="32"/>
          <w:szCs w:val="32"/>
        </w:rPr>
        <w:t>100%</w:t>
      </w:r>
      <w:r>
        <w:rPr>
          <w:rFonts w:ascii="Times New Roman" w:eastAsia="仿宋_GB2312" w:hAnsi="Times New Roman"/>
          <w:sz w:val="32"/>
          <w:szCs w:val="32"/>
        </w:rPr>
        <w:t>。</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（二）“三公”经费财政拨款支出决算具体情况说明</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仿宋_GB2312" w:eastAsia="仿宋_GB2312" w:hAnsi="仿宋_GB2312" w:cs="仿宋_GB2312" w:hint="eastAsia"/>
          <w:sz w:val="32"/>
          <w:szCs w:val="32"/>
        </w:rPr>
        <w:t>度“三公”</w:t>
      </w:r>
      <w:r>
        <w:rPr>
          <w:rFonts w:ascii="Times New Roman" w:eastAsia="仿宋_GB2312" w:hAnsi="Times New Roman" w:cs="Times New Roman"/>
          <w:sz w:val="32"/>
          <w:szCs w:val="32"/>
        </w:rPr>
        <w:t>经费财政拨款支出决算中，公务接待费支出决算</w:t>
      </w:r>
      <w:r>
        <w:rPr>
          <w:rFonts w:ascii="Times New Roman" w:eastAsia="仿宋_GB2312" w:hAnsi="Times New Roman" w:cs="Times New Roman"/>
          <w:sz w:val="32"/>
          <w:szCs w:val="32"/>
        </w:rPr>
        <w:t>6.21</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56.41%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因公出国（境）费支出决算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公务用车购置费及运行维护费支出决算</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43.59%</w:t>
      </w:r>
      <w:r>
        <w:rPr>
          <w:rFonts w:ascii="Times New Roman" w:eastAsia="仿宋_GB2312" w:hAnsi="Times New Roman" w:cs="Times New Roman"/>
          <w:sz w:val="32"/>
          <w:szCs w:val="32"/>
        </w:rPr>
        <w:t>。其中：</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hint="eastAsia"/>
          <w:sz w:val="32"/>
          <w:szCs w:val="32"/>
          <w:lang w:val="en-GB"/>
        </w:rPr>
        <w:t>．</w:t>
      </w:r>
      <w:r>
        <w:rPr>
          <w:rFonts w:ascii="Times New Roman" w:eastAsia="仿宋_GB2312" w:hAnsi="Times New Roman" w:cs="Times New Roman"/>
          <w:sz w:val="32"/>
          <w:szCs w:val="32"/>
        </w:rPr>
        <w:t>因公出国（境）费支出决算为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lang w:val="en-GB"/>
        </w:rPr>
        <w:t>．</w:t>
      </w:r>
      <w:r>
        <w:rPr>
          <w:rFonts w:ascii="Times New Roman" w:eastAsia="仿宋_GB2312" w:hAnsi="Times New Roman"/>
          <w:sz w:val="32"/>
          <w:szCs w:val="32"/>
        </w:rPr>
        <w:t>公务接待费支出决算为</w:t>
      </w:r>
      <w:r>
        <w:rPr>
          <w:rFonts w:ascii="Times New Roman" w:eastAsia="仿宋_GB2312" w:hAnsi="Times New Roman"/>
          <w:sz w:val="32"/>
          <w:szCs w:val="32"/>
        </w:rPr>
        <w:t>6.21</w:t>
      </w:r>
      <w:r>
        <w:rPr>
          <w:rFonts w:ascii="Times New Roman" w:eastAsia="仿宋_GB2312" w:hAnsi="Times New Roman"/>
          <w:sz w:val="32"/>
          <w:szCs w:val="32"/>
        </w:rPr>
        <w:t>万元，</w:t>
      </w:r>
      <w:r>
        <w:rPr>
          <w:rStyle w:val="NormalCharacter"/>
          <w:rFonts w:ascii="Times New Roman" w:eastAsia="仿宋_GB2312" w:hAnsi="Times New Roman"/>
          <w:sz w:val="32"/>
          <w:szCs w:val="32"/>
        </w:rPr>
        <w:t>全年国内公务接待</w:t>
      </w:r>
      <w:r>
        <w:rPr>
          <w:rStyle w:val="NormalCharacter"/>
          <w:rFonts w:ascii="Times New Roman" w:eastAsia="仿宋_GB2312" w:hAnsi="Times New Roman"/>
          <w:sz w:val="32"/>
          <w:szCs w:val="32"/>
        </w:rPr>
        <w:t>58</w:t>
      </w:r>
      <w:r>
        <w:rPr>
          <w:rStyle w:val="NormalCharacter"/>
          <w:rFonts w:ascii="Times New Roman" w:eastAsia="仿宋_GB2312" w:hAnsi="Times New Roman"/>
          <w:sz w:val="32"/>
          <w:szCs w:val="32"/>
        </w:rPr>
        <w:t>批次，共接待来访、来宾</w:t>
      </w:r>
      <w:r>
        <w:rPr>
          <w:rStyle w:val="NormalCharacter"/>
          <w:rFonts w:ascii="Times New Roman" w:eastAsia="仿宋_GB2312" w:hAnsi="Times New Roman"/>
          <w:sz w:val="32"/>
          <w:szCs w:val="32"/>
        </w:rPr>
        <w:t>470</w:t>
      </w:r>
      <w:r>
        <w:rPr>
          <w:rStyle w:val="NormalCharacter"/>
          <w:rFonts w:ascii="Times New Roman" w:eastAsia="仿宋_GB2312" w:hAnsi="Times New Roman"/>
          <w:sz w:val="32"/>
          <w:szCs w:val="32"/>
        </w:rPr>
        <w:t>人次，主要是县级汇报工作发生的接待支出。</w:t>
      </w:r>
    </w:p>
    <w:p w:rsidR="00740256" w:rsidRDefault="00F8504F">
      <w:pPr>
        <w:adjustRightInd w:val="0"/>
        <w:snapToGrid w:val="0"/>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3</w:t>
      </w:r>
      <w:r>
        <w:rPr>
          <w:rFonts w:ascii="Times New Roman" w:eastAsia="仿宋_GB2312" w:hAnsi="Times New Roman" w:hint="eastAsia"/>
          <w:sz w:val="32"/>
          <w:szCs w:val="32"/>
          <w:lang w:val="en-GB"/>
        </w:rPr>
        <w:t>．</w:t>
      </w:r>
      <w:r>
        <w:rPr>
          <w:rFonts w:ascii="Times New Roman" w:eastAsia="仿宋_GB2312" w:hAnsi="Times New Roman" w:cs="Times New Roman"/>
          <w:sz w:val="32"/>
          <w:szCs w:val="32"/>
        </w:rPr>
        <w:t>公务用车购置费及运行维护费支出决算为</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万元，其中：公务用车购置费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z w:val="32"/>
          <w:szCs w:val="32"/>
        </w:rPr>
        <w:t>公务用车运行维护费</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万元，主要是</w:t>
      </w:r>
      <w:r>
        <w:rPr>
          <w:rStyle w:val="NormalCharacter"/>
          <w:rFonts w:ascii="Times New Roman" w:eastAsia="仿宋_GB2312" w:hAnsi="Times New Roman" w:cs="Times New Roman"/>
          <w:color w:val="000000"/>
          <w:sz w:val="32"/>
          <w:szCs w:val="32"/>
        </w:rPr>
        <w:t>按规定保留的公务用车的燃料费、维修费、过桥过路费、保险费、</w:t>
      </w:r>
      <w:r>
        <w:rPr>
          <w:rStyle w:val="NormalCharacter"/>
          <w:rFonts w:ascii="Times New Roman" w:eastAsia="仿宋_GB2312" w:hAnsi="Times New Roman" w:cs="Times New Roman"/>
          <w:color w:val="000000"/>
          <w:sz w:val="32"/>
          <w:szCs w:val="32"/>
        </w:rPr>
        <w:lastRenderedPageBreak/>
        <w:t>安全奖励费用等</w:t>
      </w:r>
      <w:r>
        <w:rPr>
          <w:rFonts w:ascii="Times New Roman" w:eastAsia="仿宋_GB2312" w:hAnsi="Times New Roman" w:cs="Times New Roman"/>
          <w:sz w:val="32"/>
          <w:szCs w:val="32"/>
        </w:rPr>
        <w:t>支出，截止</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辆。</w:t>
      </w:r>
    </w:p>
    <w:p w:rsidR="00740256" w:rsidRDefault="00F8504F">
      <w:pPr>
        <w:pStyle w:val="Default"/>
        <w:snapToGrid w:val="0"/>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740256" w:rsidRDefault="00F8504F">
      <w:pPr>
        <w:adjustRightInd w:val="0"/>
        <w:snapToGrid w:val="0"/>
        <w:spacing w:line="600" w:lineRule="exact"/>
        <w:ind w:firstLineChars="200" w:firstLine="640"/>
        <w:rPr>
          <w:rFonts w:ascii="Times New Roman" w:eastAsia="仿宋_GB2312" w:hAnsi="Times New Roman" w:cs="Times New Roman"/>
          <w:i/>
          <w:color w:val="FF0000"/>
          <w:sz w:val="32"/>
          <w:szCs w:val="32"/>
        </w:rPr>
      </w:pPr>
      <w:r>
        <w:rPr>
          <w:rStyle w:val="NormalCharacter"/>
          <w:rFonts w:ascii="Times New Roman" w:eastAsia="仿宋_GB2312" w:hAnsi="Times New Roman" w:cs="Times New Roman"/>
          <w:sz w:val="32"/>
          <w:szCs w:val="32"/>
        </w:rPr>
        <w:t>2020</w:t>
      </w:r>
      <w:r>
        <w:rPr>
          <w:rStyle w:val="NormalCharacter"/>
          <w:rFonts w:ascii="Times New Roman" w:eastAsia="仿宋_GB2312" w:hAnsi="Times New Roman" w:cs="Times New Roman"/>
          <w:sz w:val="32"/>
          <w:szCs w:val="32"/>
        </w:rPr>
        <w:t>年度政府性基金预算财政拨款收入</w:t>
      </w:r>
      <w:r>
        <w:rPr>
          <w:rStyle w:val="NormalCharacter"/>
          <w:rFonts w:ascii="Times New Roman" w:eastAsia="仿宋_GB2312" w:hAnsi="Times New Roman" w:cs="Times New Roman"/>
          <w:sz w:val="32"/>
          <w:szCs w:val="32"/>
        </w:rPr>
        <w:t>159.17</w:t>
      </w:r>
      <w:r w:rsidR="00166080">
        <w:rPr>
          <w:rStyle w:val="NormalCharacter"/>
          <w:rFonts w:ascii="Times New Roman" w:eastAsia="仿宋_GB2312" w:hAnsi="Times New Roman" w:cs="Times New Roman"/>
          <w:sz w:val="32"/>
          <w:szCs w:val="32"/>
        </w:rPr>
        <w:t>万元；</w:t>
      </w:r>
      <w:r>
        <w:rPr>
          <w:rStyle w:val="NormalCharacter"/>
          <w:rFonts w:ascii="Times New Roman" w:eastAsia="仿宋_GB2312" w:hAnsi="Times New Roman" w:cs="Times New Roman"/>
          <w:sz w:val="32"/>
          <w:szCs w:val="32"/>
        </w:rPr>
        <w:t>年初结转和结余</w:t>
      </w:r>
      <w:r>
        <w:rPr>
          <w:rStyle w:val="NormalCharacter"/>
          <w:rFonts w:ascii="Times New Roman" w:eastAsia="仿宋_GB2312" w:hAnsi="Times New Roman" w:cs="Times New Roman"/>
          <w:sz w:val="32"/>
          <w:szCs w:val="32"/>
        </w:rPr>
        <w:t>0</w:t>
      </w:r>
      <w:r w:rsidR="00166080">
        <w:rPr>
          <w:rStyle w:val="NormalCharacter"/>
          <w:rFonts w:ascii="Times New Roman" w:eastAsia="仿宋_GB2312" w:hAnsi="Times New Roman" w:cs="Times New Roman"/>
          <w:sz w:val="32"/>
          <w:szCs w:val="32"/>
        </w:rPr>
        <w:t>万元；</w:t>
      </w:r>
      <w:r>
        <w:rPr>
          <w:rStyle w:val="NormalCharacter"/>
          <w:rFonts w:ascii="Times New Roman" w:eastAsia="仿宋_GB2312" w:hAnsi="Times New Roman" w:cs="Times New Roman"/>
          <w:sz w:val="32"/>
          <w:szCs w:val="32"/>
        </w:rPr>
        <w:t>支出</w:t>
      </w:r>
      <w:r>
        <w:rPr>
          <w:rStyle w:val="NormalCharacter"/>
          <w:rFonts w:ascii="Times New Roman" w:eastAsia="仿宋_GB2312" w:hAnsi="Times New Roman" w:cs="Times New Roman"/>
          <w:sz w:val="32"/>
          <w:szCs w:val="32"/>
        </w:rPr>
        <w:t>159.17</w:t>
      </w:r>
      <w:r>
        <w:rPr>
          <w:rStyle w:val="NormalCharacter"/>
          <w:rFonts w:ascii="Times New Roman" w:eastAsia="仿宋_GB2312" w:hAnsi="Times New Roman" w:cs="Times New Roman"/>
          <w:sz w:val="32"/>
          <w:szCs w:val="32"/>
        </w:rPr>
        <w:t>万元，其中基本支出</w:t>
      </w:r>
      <w:r>
        <w:rPr>
          <w:rStyle w:val="NormalCharacter"/>
          <w:rFonts w:ascii="Times New Roman" w:eastAsia="仿宋_GB2312" w:hAnsi="Times New Roman" w:cs="Times New Roman"/>
          <w:sz w:val="32"/>
          <w:szCs w:val="32"/>
        </w:rPr>
        <w:t>0</w:t>
      </w:r>
      <w:r>
        <w:rPr>
          <w:rStyle w:val="NormalCharacter"/>
          <w:rFonts w:ascii="Times New Roman" w:eastAsia="仿宋_GB2312" w:hAnsi="Times New Roman" w:cs="Times New Roman"/>
          <w:sz w:val="32"/>
          <w:szCs w:val="32"/>
        </w:rPr>
        <w:t>万元，项目支出</w:t>
      </w:r>
      <w:r>
        <w:rPr>
          <w:rStyle w:val="NormalCharacter"/>
          <w:rFonts w:ascii="Times New Roman" w:eastAsia="仿宋_GB2312" w:hAnsi="Times New Roman" w:cs="Times New Roman"/>
          <w:sz w:val="32"/>
          <w:szCs w:val="32"/>
        </w:rPr>
        <w:t>159.17</w:t>
      </w:r>
      <w:r>
        <w:rPr>
          <w:rStyle w:val="NormalCharacter"/>
          <w:rFonts w:ascii="Times New Roman" w:eastAsia="仿宋_GB2312" w:hAnsi="Times New Roman" w:cs="Times New Roman"/>
          <w:sz w:val="32"/>
          <w:szCs w:val="32"/>
        </w:rPr>
        <w:t>万元；年末结转和结余</w:t>
      </w:r>
      <w:r>
        <w:rPr>
          <w:rStyle w:val="NormalCharacter"/>
          <w:rFonts w:ascii="Times New Roman" w:eastAsia="仿宋_GB2312" w:hAnsi="Times New Roman" w:cs="Times New Roman"/>
          <w:sz w:val="32"/>
          <w:szCs w:val="32"/>
        </w:rPr>
        <w:t>0</w:t>
      </w:r>
      <w:r>
        <w:rPr>
          <w:rStyle w:val="NormalCharacter"/>
          <w:rFonts w:ascii="Times New Roman" w:eastAsia="仿宋_GB2312" w:hAnsi="Times New Roman" w:cs="Times New Roman"/>
          <w:sz w:val="32"/>
          <w:szCs w:val="32"/>
        </w:rPr>
        <w:t>万元。</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hAnsi="黑体" w:hint="eastAsia"/>
          <w:sz w:val="32"/>
          <w:szCs w:val="32"/>
        </w:rPr>
        <w:t>九、国有资本经营预算支出决算情况</w:t>
      </w:r>
    </w:p>
    <w:p w:rsidR="00740256" w:rsidRDefault="00F8504F">
      <w:pPr>
        <w:pStyle w:val="Default"/>
        <w:snapToGrid w:val="0"/>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本单位无国有资本经营收支。</w:t>
      </w:r>
    </w:p>
    <w:p w:rsidR="00740256" w:rsidRDefault="00F8504F">
      <w:pPr>
        <w:pStyle w:val="Default"/>
        <w:snapToGrid w:val="0"/>
        <w:spacing w:line="600" w:lineRule="exact"/>
        <w:ind w:firstLineChars="200" w:firstLine="640"/>
        <w:rPr>
          <w:rFonts w:ascii="Times New Roman" w:hAnsi="Times New Roman" w:cs="Times New Roman"/>
          <w:sz w:val="32"/>
          <w:szCs w:val="32"/>
        </w:rPr>
      </w:pPr>
      <w:r>
        <w:rPr>
          <w:rFonts w:ascii="Times New Roman" w:hAnsi="Times New Roman" w:cs="Times New Roman"/>
          <w:color w:val="000000" w:themeColor="text1"/>
          <w:sz w:val="32"/>
          <w:szCs w:val="32"/>
        </w:rPr>
        <w:t>十、</w:t>
      </w:r>
      <w:r>
        <w:rPr>
          <w:rFonts w:ascii="Times New Roman" w:hAnsi="Times New Roman" w:cs="Times New Roman"/>
          <w:sz w:val="32"/>
          <w:szCs w:val="32"/>
        </w:rPr>
        <w:t>关于</w:t>
      </w:r>
      <w:r>
        <w:rPr>
          <w:rFonts w:ascii="Times New Roman" w:hAnsi="Times New Roman" w:cs="Times New Roman"/>
          <w:sz w:val="32"/>
          <w:szCs w:val="32"/>
        </w:rPr>
        <w:t>2020</w:t>
      </w:r>
      <w:r>
        <w:rPr>
          <w:rFonts w:ascii="Times New Roman" w:hAnsi="Times New Roman" w:cs="Times New Roman"/>
          <w:sz w:val="32"/>
          <w:szCs w:val="32"/>
        </w:rPr>
        <w:t>年度预算绩效情况的说明</w:t>
      </w:r>
    </w:p>
    <w:p w:rsidR="00740256" w:rsidRDefault="00F8504F">
      <w:pPr>
        <w:pStyle w:val="UserStyle0"/>
        <w:adjustRightInd w:val="0"/>
        <w:snapToGrid w:val="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本单位因机构改革，从一级预算单位改</w:t>
      </w:r>
      <w:r w:rsidR="001A20CF">
        <w:rPr>
          <w:rStyle w:val="NormalCharacter"/>
          <w:rFonts w:ascii="Times New Roman" w:eastAsia="仿宋_GB2312" w:hAnsi="Times New Roman"/>
          <w:sz w:val="32"/>
          <w:szCs w:val="32"/>
        </w:rPr>
        <w:t>革</w:t>
      </w:r>
      <w:r>
        <w:rPr>
          <w:rStyle w:val="NormalCharacter"/>
          <w:rFonts w:ascii="Times New Roman" w:eastAsia="仿宋_GB2312" w:hAnsi="Times New Roman"/>
          <w:sz w:val="32"/>
          <w:szCs w:val="32"/>
        </w:rPr>
        <w:t>为州水利局下属二级预算单位，按照财政绩效部门要求</w:t>
      </w:r>
      <w:r>
        <w:rPr>
          <w:rStyle w:val="NormalCharacter"/>
          <w:rFonts w:ascii="Times New Roman" w:eastAsia="仿宋_GB2312" w:hAnsi="Times New Roman"/>
          <w:sz w:val="32"/>
          <w:szCs w:val="32"/>
        </w:rPr>
        <w:t>2020</w:t>
      </w:r>
      <w:r>
        <w:rPr>
          <w:rStyle w:val="NormalCharacter"/>
          <w:rFonts w:ascii="Times New Roman" w:eastAsia="仿宋_GB2312" w:hAnsi="Times New Roman"/>
          <w:sz w:val="32"/>
          <w:szCs w:val="32"/>
        </w:rPr>
        <w:t>年度单位整体绩效评价工作由州水利局统一评价，本单位不需要单独作价评，州水利局整体绩效评价公布网址：</w:t>
      </w:r>
      <w:hyperlink r:id="rId10" w:history="1">
        <w:r>
          <w:rPr>
            <w:rStyle w:val="a6"/>
            <w:rFonts w:ascii="Times New Roman" w:eastAsia="仿宋_GB2312" w:hAnsi="Times New Roman"/>
            <w:sz w:val="32"/>
            <w:szCs w:val="32"/>
          </w:rPr>
          <w:t>http://slj.xxz.gov.cn/</w:t>
        </w:r>
      </w:hyperlink>
    </w:p>
    <w:p w:rsidR="00740256" w:rsidRDefault="00F8504F">
      <w:pPr>
        <w:pStyle w:val="Default"/>
        <w:snapToGrid w:val="0"/>
        <w:spacing w:line="600" w:lineRule="exact"/>
        <w:ind w:firstLineChars="200" w:firstLine="640"/>
        <w:rPr>
          <w:rFonts w:hAnsi="黑体"/>
          <w:color w:val="000000" w:themeColor="text1"/>
          <w:sz w:val="32"/>
          <w:szCs w:val="32"/>
        </w:rPr>
      </w:pPr>
      <w:r>
        <w:rPr>
          <w:rFonts w:hAnsi="黑体" w:hint="eastAsia"/>
          <w:color w:val="000000" w:themeColor="text1"/>
          <w:sz w:val="32"/>
          <w:szCs w:val="32"/>
        </w:rPr>
        <w:t>十一、其他重要事项情况说明</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（一）关于机关运行经费支出情况</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年度机关运行经费支出</w:t>
      </w:r>
      <w:r>
        <w:rPr>
          <w:rFonts w:ascii="Times New Roman" w:eastAsia="仿宋_GB2312" w:hAnsi="Times New Roman" w:cs="Times New Roman"/>
          <w:sz w:val="32"/>
          <w:szCs w:val="32"/>
        </w:rPr>
        <w:t>56.59</w:t>
      </w:r>
      <w:r>
        <w:rPr>
          <w:rFonts w:ascii="Times New Roman" w:eastAsia="仿宋_GB2312" w:hAnsi="Times New Roman" w:cs="Times New Roman"/>
          <w:sz w:val="32"/>
          <w:szCs w:val="32"/>
        </w:rPr>
        <w:t>万元，</w:t>
      </w:r>
      <w:r>
        <w:rPr>
          <w:rStyle w:val="NormalCharacter"/>
          <w:rFonts w:ascii="Times New Roman" w:eastAsia="仿宋_GB2312" w:hAnsi="Times New Roman" w:cs="Times New Roman"/>
          <w:sz w:val="32"/>
          <w:szCs w:val="32"/>
        </w:rPr>
        <w:t>2020</w:t>
      </w:r>
      <w:r>
        <w:rPr>
          <w:rStyle w:val="NormalCharacter"/>
          <w:rFonts w:ascii="Times New Roman" w:eastAsia="仿宋_GB2312" w:hAnsi="Times New Roman" w:cs="Times New Roman"/>
          <w:sz w:val="32"/>
          <w:szCs w:val="32"/>
        </w:rPr>
        <w:t>年机关运行经费财政拨款预算</w:t>
      </w:r>
      <w:r>
        <w:rPr>
          <w:rStyle w:val="NormalCharacter"/>
          <w:rFonts w:ascii="Times New Roman" w:eastAsia="仿宋_GB2312" w:hAnsi="Times New Roman" w:cs="Times New Roman"/>
          <w:sz w:val="32"/>
          <w:szCs w:val="32"/>
        </w:rPr>
        <w:t>59.34</w:t>
      </w:r>
      <w:r>
        <w:rPr>
          <w:rStyle w:val="NormalCharacter"/>
          <w:rFonts w:ascii="Times New Roman" w:eastAsia="仿宋_GB2312" w:hAnsi="Times New Roman" w:cs="Times New Roman"/>
          <w:sz w:val="32"/>
          <w:szCs w:val="32"/>
        </w:rPr>
        <w:t>万元，</w:t>
      </w:r>
      <w:r>
        <w:rPr>
          <w:rFonts w:ascii="Times New Roman" w:eastAsia="仿宋_GB2312" w:hAnsi="Times New Roman" w:cs="Times New Roman"/>
          <w:sz w:val="32"/>
          <w:szCs w:val="32"/>
        </w:rPr>
        <w:t>比年初预算数减少</w:t>
      </w:r>
      <w:r>
        <w:rPr>
          <w:rFonts w:ascii="Times New Roman" w:eastAsia="仿宋_GB2312" w:hAnsi="Times New Roman" w:cs="Times New Roman"/>
          <w:sz w:val="32"/>
          <w:szCs w:val="32"/>
        </w:rPr>
        <w:t>2.75</w:t>
      </w:r>
      <w:r>
        <w:rPr>
          <w:rFonts w:ascii="Times New Roman" w:eastAsia="仿宋_GB2312" w:hAnsi="Times New Roman" w:cs="Times New Roman"/>
          <w:sz w:val="32"/>
          <w:szCs w:val="32"/>
        </w:rPr>
        <w:t>万元，下降</w:t>
      </w:r>
      <w:r>
        <w:rPr>
          <w:rFonts w:ascii="Times New Roman" w:eastAsia="仿宋_GB2312" w:hAnsi="Times New Roman" w:cs="Times New Roman"/>
          <w:sz w:val="32"/>
          <w:szCs w:val="32"/>
        </w:rPr>
        <w:t>4.63%</w:t>
      </w:r>
      <w:r>
        <w:rPr>
          <w:rFonts w:ascii="Times New Roman" w:eastAsia="仿宋_GB2312" w:hAnsi="Times New Roman" w:cs="Times New Roman"/>
          <w:sz w:val="32"/>
          <w:szCs w:val="32"/>
        </w:rPr>
        <w:t>。主要原因是：</w:t>
      </w:r>
      <w:r>
        <w:rPr>
          <w:rStyle w:val="NormalCharacter"/>
          <w:rFonts w:ascii="Times New Roman" w:eastAsia="仿宋_GB2312" w:hAnsi="Times New Roman" w:cs="Times New Roman"/>
          <w:sz w:val="32"/>
          <w:szCs w:val="32"/>
        </w:rPr>
        <w:t>按要求压缩了公用经费支出</w:t>
      </w:r>
      <w:r>
        <w:rPr>
          <w:rFonts w:ascii="Times New Roman" w:eastAsia="仿宋_GB2312" w:hAnsi="Times New Roman" w:cs="Times New Roman"/>
          <w:sz w:val="32"/>
          <w:szCs w:val="32"/>
        </w:rPr>
        <w:t>。</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（二）一般性支出情况</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2020</w:t>
      </w:r>
      <w:r>
        <w:rPr>
          <w:rFonts w:ascii="Times New Roman" w:eastAsia="仿宋_GB2312" w:hAnsi="Times New Roman" w:cs="Times New Roman"/>
          <w:sz w:val="32"/>
          <w:szCs w:val="32"/>
        </w:rPr>
        <w:t>年本部门开支会议费</w:t>
      </w:r>
      <w:r>
        <w:rPr>
          <w:rFonts w:ascii="Times New Roman" w:eastAsia="仿宋_GB2312" w:hAnsi="Times New Roman" w:cs="Times New Roman"/>
          <w:sz w:val="32"/>
          <w:szCs w:val="32"/>
        </w:rPr>
        <w:t>0</w:t>
      </w:r>
      <w:r w:rsidR="00233D01">
        <w:rPr>
          <w:rFonts w:ascii="Times New Roman" w:eastAsia="仿宋_GB2312" w:hAnsi="Times New Roman" w:cs="Times New Roman"/>
          <w:sz w:val="32"/>
          <w:szCs w:val="32"/>
        </w:rPr>
        <w:t>万元</w:t>
      </w:r>
      <w:r w:rsidR="00233D0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开支培训费</w:t>
      </w:r>
      <w:r w:rsidR="00EC4987">
        <w:rPr>
          <w:rFonts w:ascii="Times New Roman" w:eastAsia="仿宋_GB2312" w:hAnsi="Times New Roman" w:cs="Times New Roman" w:hint="eastAsia"/>
          <w:sz w:val="32"/>
          <w:szCs w:val="32"/>
        </w:rPr>
        <w:t>6.85</w:t>
      </w:r>
      <w:r>
        <w:rPr>
          <w:rFonts w:ascii="Times New Roman" w:eastAsia="仿宋_GB2312" w:hAnsi="Times New Roman" w:cs="Times New Roman"/>
          <w:sz w:val="32"/>
          <w:szCs w:val="32"/>
        </w:rPr>
        <w:t>万元，</w:t>
      </w:r>
      <w:r w:rsidR="00233D01">
        <w:rPr>
          <w:rFonts w:ascii="Times New Roman" w:eastAsia="仿宋_GB2312" w:hAnsi="Times New Roman" w:cs="Times New Roman" w:hint="eastAsia"/>
          <w:sz w:val="32"/>
          <w:szCs w:val="32"/>
        </w:rPr>
        <w:t>其中：</w:t>
      </w:r>
      <w:r w:rsidR="00233D01">
        <w:rPr>
          <w:rFonts w:ascii="Times New Roman" w:eastAsia="仿宋_GB2312" w:hAnsi="Times New Roman" w:cs="Times New Roman" w:hint="eastAsia"/>
          <w:sz w:val="32"/>
          <w:szCs w:val="32"/>
        </w:rPr>
        <w:t>1</w:t>
      </w:r>
      <w:r w:rsidR="00233D01">
        <w:rPr>
          <w:rFonts w:ascii="Times New Roman" w:eastAsia="仿宋_GB2312" w:hAnsi="Times New Roman" w:cs="Times New Roman" w:hint="eastAsia"/>
          <w:sz w:val="32"/>
          <w:szCs w:val="32"/>
        </w:rPr>
        <w:t>、</w:t>
      </w:r>
      <w:r w:rsidR="00233D01">
        <w:rPr>
          <w:rFonts w:ascii="Times New Roman" w:eastAsia="仿宋_GB2312" w:hAnsi="Times New Roman" w:cs="Times New Roman" w:hint="eastAsia"/>
          <w:sz w:val="32"/>
          <w:szCs w:val="32"/>
        </w:rPr>
        <w:t>1</w:t>
      </w:r>
      <w:r w:rsidR="00233D01">
        <w:rPr>
          <w:rFonts w:ascii="Times New Roman" w:eastAsia="仿宋_GB2312" w:hAnsi="Times New Roman" w:cs="Times New Roman" w:hint="eastAsia"/>
          <w:sz w:val="32"/>
          <w:szCs w:val="32"/>
        </w:rPr>
        <w:t>名</w:t>
      </w:r>
      <w:r>
        <w:rPr>
          <w:rFonts w:ascii="Times New Roman" w:eastAsia="仿宋_GB2312" w:hAnsi="Times New Roman" w:cs="Times New Roman"/>
          <w:sz w:val="32"/>
          <w:szCs w:val="32"/>
        </w:rPr>
        <w:t>干部参加党校</w:t>
      </w:r>
      <w:r>
        <w:rPr>
          <w:rFonts w:ascii="Times New Roman" w:eastAsia="仿宋_GB2312" w:hAnsi="Times New Roman" w:cs="Times New Roman" w:hint="eastAsia"/>
          <w:sz w:val="32"/>
          <w:szCs w:val="32"/>
        </w:rPr>
        <w:t>进修班</w:t>
      </w:r>
      <w:r w:rsidR="00233D01">
        <w:rPr>
          <w:rFonts w:ascii="Times New Roman" w:eastAsia="仿宋_GB2312" w:hAnsi="Times New Roman" w:cs="Times New Roman"/>
          <w:sz w:val="32"/>
          <w:szCs w:val="32"/>
        </w:rPr>
        <w:t>培训</w:t>
      </w:r>
      <w:r w:rsidR="00233D01">
        <w:rPr>
          <w:rFonts w:ascii="Times New Roman" w:eastAsia="仿宋_GB2312" w:hAnsi="Times New Roman" w:cs="Times New Roman" w:hint="eastAsia"/>
          <w:sz w:val="32"/>
          <w:szCs w:val="32"/>
        </w:rPr>
        <w:t>，费用</w:t>
      </w:r>
      <w:r w:rsidR="00233D01">
        <w:rPr>
          <w:rFonts w:ascii="Times New Roman" w:eastAsia="仿宋_GB2312" w:hAnsi="Times New Roman" w:cs="Times New Roman" w:hint="eastAsia"/>
          <w:sz w:val="32"/>
          <w:szCs w:val="32"/>
        </w:rPr>
        <w:t>0.38</w:t>
      </w:r>
      <w:r w:rsidR="00233D01">
        <w:rPr>
          <w:rFonts w:ascii="Times New Roman" w:eastAsia="仿宋_GB2312" w:hAnsi="Times New Roman" w:cs="Times New Roman" w:hint="eastAsia"/>
          <w:sz w:val="32"/>
          <w:szCs w:val="32"/>
        </w:rPr>
        <w:t>万元；</w:t>
      </w:r>
      <w:r w:rsidR="00233D01">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sidR="00233D01">
        <w:rPr>
          <w:rFonts w:ascii="Times New Roman" w:eastAsia="仿宋_GB2312" w:hAnsi="Times New Roman" w:cs="Times New Roman" w:hint="eastAsia"/>
          <w:sz w:val="32"/>
          <w:szCs w:val="32"/>
        </w:rPr>
        <w:t>、</w:t>
      </w:r>
      <w:r w:rsidR="00233D01">
        <w:rPr>
          <w:rFonts w:ascii="Times New Roman" w:eastAsia="仿宋_GB2312" w:hAnsi="Times New Roman" w:cs="Times New Roman" w:hint="eastAsia"/>
          <w:sz w:val="32"/>
          <w:szCs w:val="32"/>
        </w:rPr>
        <w:t>组织</w:t>
      </w:r>
      <w:r w:rsidR="00233D01">
        <w:rPr>
          <w:rFonts w:ascii="Times New Roman" w:eastAsia="仿宋_GB2312" w:hAnsi="Times New Roman" w:cs="Times New Roman" w:hint="eastAsia"/>
          <w:sz w:val="32"/>
          <w:szCs w:val="32"/>
        </w:rPr>
        <w:t>全州</w:t>
      </w:r>
      <w:r w:rsidR="00233D01">
        <w:rPr>
          <w:rFonts w:ascii="Times New Roman" w:eastAsia="仿宋_GB2312" w:hAnsi="Times New Roman" w:cs="Times New Roman" w:hint="eastAsia"/>
          <w:sz w:val="32"/>
          <w:szCs w:val="32"/>
        </w:rPr>
        <w:t>8</w:t>
      </w:r>
      <w:r w:rsidR="00233D01">
        <w:rPr>
          <w:rFonts w:ascii="Times New Roman" w:eastAsia="仿宋_GB2312" w:hAnsi="Times New Roman" w:cs="Times New Roman" w:hint="eastAsia"/>
          <w:sz w:val="32"/>
          <w:szCs w:val="32"/>
        </w:rPr>
        <w:t>县市十四五规划培训，费用</w:t>
      </w:r>
      <w:r w:rsidR="00233D01">
        <w:rPr>
          <w:rFonts w:ascii="Times New Roman" w:eastAsia="仿宋_GB2312" w:hAnsi="Times New Roman" w:cs="Times New Roman" w:hint="eastAsia"/>
          <w:sz w:val="32"/>
          <w:szCs w:val="32"/>
        </w:rPr>
        <w:t>2.36</w:t>
      </w:r>
      <w:r w:rsidR="00233D01">
        <w:rPr>
          <w:rFonts w:ascii="Times New Roman" w:eastAsia="仿宋_GB2312" w:hAnsi="Times New Roman" w:cs="Times New Roman" w:hint="eastAsia"/>
          <w:sz w:val="32"/>
          <w:szCs w:val="32"/>
        </w:rPr>
        <w:t>万元；</w:t>
      </w:r>
      <w:r w:rsidR="00233D01">
        <w:rPr>
          <w:rFonts w:ascii="Times New Roman" w:eastAsia="仿宋_GB2312" w:hAnsi="Times New Roman" w:cs="Times New Roman" w:hint="eastAsia"/>
          <w:sz w:val="32"/>
          <w:szCs w:val="32"/>
        </w:rPr>
        <w:t>3</w:t>
      </w:r>
      <w:r w:rsidR="00233D01">
        <w:rPr>
          <w:rFonts w:ascii="Times New Roman" w:eastAsia="仿宋_GB2312" w:hAnsi="Times New Roman" w:cs="Times New Roman" w:hint="eastAsia"/>
          <w:sz w:val="32"/>
          <w:szCs w:val="32"/>
        </w:rPr>
        <w:t>、组织</w:t>
      </w:r>
      <w:r w:rsidR="00233D01">
        <w:rPr>
          <w:rFonts w:ascii="Times New Roman" w:eastAsia="仿宋_GB2312" w:hAnsi="Times New Roman" w:cs="Times New Roman" w:hint="eastAsia"/>
          <w:sz w:val="32"/>
          <w:szCs w:val="32"/>
        </w:rPr>
        <w:t>8</w:t>
      </w:r>
      <w:r w:rsidR="00233D01">
        <w:rPr>
          <w:rFonts w:ascii="Times New Roman" w:eastAsia="仿宋_GB2312" w:hAnsi="Times New Roman" w:cs="Times New Roman" w:hint="eastAsia"/>
          <w:sz w:val="32"/>
          <w:szCs w:val="32"/>
        </w:rPr>
        <w:t>县市后扶资金使用管理培训，费用</w:t>
      </w:r>
      <w:r w:rsidR="00233D01">
        <w:rPr>
          <w:rFonts w:ascii="Times New Roman" w:eastAsia="仿宋_GB2312" w:hAnsi="Times New Roman" w:cs="Times New Roman" w:hint="eastAsia"/>
          <w:sz w:val="32"/>
          <w:szCs w:val="32"/>
        </w:rPr>
        <w:t>0.73</w:t>
      </w:r>
      <w:r w:rsidR="00233D01">
        <w:rPr>
          <w:rFonts w:ascii="Times New Roman" w:eastAsia="仿宋_GB2312" w:hAnsi="Times New Roman" w:cs="Times New Roman" w:hint="eastAsia"/>
          <w:sz w:val="32"/>
          <w:szCs w:val="32"/>
        </w:rPr>
        <w:t>万元；</w:t>
      </w:r>
      <w:r w:rsidR="00233D01">
        <w:rPr>
          <w:rFonts w:ascii="Times New Roman" w:eastAsia="仿宋_GB2312" w:hAnsi="Times New Roman" w:cs="Times New Roman" w:hint="eastAsia"/>
          <w:sz w:val="32"/>
          <w:szCs w:val="32"/>
        </w:rPr>
        <w:t>4</w:t>
      </w:r>
      <w:r w:rsidR="00233D01">
        <w:rPr>
          <w:rFonts w:ascii="Times New Roman" w:eastAsia="仿宋_GB2312" w:hAnsi="Times New Roman" w:cs="Times New Roman" w:hint="eastAsia"/>
          <w:sz w:val="32"/>
          <w:szCs w:val="32"/>
        </w:rPr>
        <w:t>、组织</w:t>
      </w:r>
      <w:r w:rsidR="00233D01">
        <w:rPr>
          <w:rFonts w:ascii="Times New Roman" w:eastAsia="仿宋_GB2312" w:hAnsi="Times New Roman" w:cs="Times New Roman" w:hint="eastAsia"/>
          <w:sz w:val="32"/>
          <w:szCs w:val="32"/>
        </w:rPr>
        <w:t>8</w:t>
      </w:r>
      <w:r w:rsidR="00233D01">
        <w:rPr>
          <w:rFonts w:ascii="Times New Roman" w:eastAsia="仿宋_GB2312" w:hAnsi="Times New Roman" w:cs="Times New Roman" w:hint="eastAsia"/>
          <w:sz w:val="32"/>
          <w:szCs w:val="32"/>
        </w:rPr>
        <w:t>县市后</w:t>
      </w:r>
      <w:proofErr w:type="gramStart"/>
      <w:r w:rsidR="00233D01">
        <w:rPr>
          <w:rFonts w:ascii="Times New Roman" w:eastAsia="仿宋_GB2312" w:hAnsi="Times New Roman" w:cs="Times New Roman" w:hint="eastAsia"/>
          <w:sz w:val="32"/>
          <w:szCs w:val="32"/>
        </w:rPr>
        <w:t>扶政策</w:t>
      </w:r>
      <w:proofErr w:type="gramEnd"/>
      <w:r w:rsidR="00233D01">
        <w:rPr>
          <w:rFonts w:ascii="Times New Roman" w:eastAsia="仿宋_GB2312" w:hAnsi="Times New Roman" w:cs="Times New Roman" w:hint="eastAsia"/>
          <w:sz w:val="32"/>
          <w:szCs w:val="32"/>
        </w:rPr>
        <w:t>实施培训，费用</w:t>
      </w:r>
      <w:r w:rsidR="00233D01">
        <w:rPr>
          <w:rFonts w:ascii="Times New Roman" w:eastAsia="仿宋_GB2312" w:hAnsi="Times New Roman" w:cs="Times New Roman" w:hint="eastAsia"/>
          <w:sz w:val="32"/>
          <w:szCs w:val="32"/>
        </w:rPr>
        <w:t>2.81</w:t>
      </w:r>
      <w:r w:rsidR="00233D01">
        <w:rPr>
          <w:rFonts w:ascii="Times New Roman" w:eastAsia="仿宋_GB2312" w:hAnsi="Times New Roman" w:cs="Times New Roman" w:hint="eastAsia"/>
          <w:sz w:val="32"/>
          <w:szCs w:val="32"/>
        </w:rPr>
        <w:t>万元；</w:t>
      </w:r>
      <w:r w:rsidR="00233D01">
        <w:rPr>
          <w:rFonts w:ascii="Times New Roman" w:eastAsia="仿宋_GB2312" w:hAnsi="Times New Roman" w:cs="Times New Roman" w:hint="eastAsia"/>
          <w:sz w:val="32"/>
          <w:szCs w:val="32"/>
        </w:rPr>
        <w:t>5</w:t>
      </w:r>
      <w:r w:rsidR="00233D01">
        <w:rPr>
          <w:rFonts w:ascii="Times New Roman" w:eastAsia="仿宋_GB2312" w:hAnsi="Times New Roman" w:cs="Times New Roman" w:hint="eastAsia"/>
          <w:sz w:val="32"/>
          <w:szCs w:val="32"/>
        </w:rPr>
        <w:t>、全州移民</w:t>
      </w:r>
      <w:r w:rsidR="00A57682">
        <w:rPr>
          <w:rFonts w:ascii="Times New Roman" w:eastAsia="仿宋_GB2312" w:hAnsi="Times New Roman" w:cs="Times New Roman" w:hint="eastAsia"/>
          <w:sz w:val="32"/>
          <w:szCs w:val="32"/>
        </w:rPr>
        <w:t>资</w:t>
      </w:r>
      <w:r w:rsidR="00233D01">
        <w:rPr>
          <w:rFonts w:ascii="Times New Roman" w:eastAsia="仿宋_GB2312" w:hAnsi="Times New Roman" w:cs="Times New Roman" w:hint="eastAsia"/>
          <w:sz w:val="32"/>
          <w:szCs w:val="32"/>
        </w:rPr>
        <w:t>金监督检查、绩效评价整改培训，费用</w:t>
      </w:r>
      <w:r w:rsidR="00233D01">
        <w:rPr>
          <w:rFonts w:ascii="Times New Roman" w:eastAsia="仿宋_GB2312" w:hAnsi="Times New Roman" w:cs="Times New Roman" w:hint="eastAsia"/>
          <w:sz w:val="32"/>
          <w:szCs w:val="32"/>
        </w:rPr>
        <w:t>0.57</w:t>
      </w:r>
      <w:r w:rsidR="00233D01">
        <w:rPr>
          <w:rFonts w:ascii="Times New Roman" w:eastAsia="仿宋_GB2312" w:hAnsi="Times New Roman" w:cs="Times New Roman" w:hint="eastAsia"/>
          <w:sz w:val="32"/>
          <w:szCs w:val="32"/>
        </w:rPr>
        <w:t>万元。</w:t>
      </w:r>
      <w:bookmarkStart w:id="0" w:name="_GoBack"/>
      <w:bookmarkEnd w:id="0"/>
      <w:r>
        <w:rPr>
          <w:rFonts w:ascii="Times New Roman" w:eastAsia="仿宋_GB2312" w:hAnsi="Times New Roman" w:cs="Times New Roman" w:hint="eastAsia"/>
          <w:sz w:val="32"/>
          <w:szCs w:val="32"/>
        </w:rPr>
        <w:tab/>
      </w:r>
      <w:r>
        <w:rPr>
          <w:rFonts w:ascii="Times New Roman" w:eastAsia="仿宋_GB2312" w:hAnsi="Times New Roman" w:cs="Times New Roman" w:hint="eastAsia"/>
          <w:sz w:val="32"/>
          <w:szCs w:val="32"/>
        </w:rPr>
        <w:tab/>
      </w:r>
      <w:r>
        <w:rPr>
          <w:rFonts w:ascii="Times New Roman" w:eastAsia="仿宋_GB2312" w:hAnsi="Times New Roman" w:cs="Times New Roman" w:hint="eastAsia"/>
          <w:sz w:val="32"/>
          <w:szCs w:val="32"/>
        </w:rPr>
        <w:tab/>
      </w:r>
      <w:r>
        <w:rPr>
          <w:rFonts w:ascii="Times New Roman" w:eastAsia="仿宋_GB2312" w:hAnsi="Times New Roman" w:cs="Times New Roman" w:hint="eastAsia"/>
          <w:sz w:val="32"/>
          <w:szCs w:val="32"/>
        </w:rPr>
        <w:tab/>
      </w:r>
      <w:r>
        <w:rPr>
          <w:rFonts w:ascii="Times New Roman" w:eastAsia="仿宋_GB2312" w:hAnsi="Times New Roman" w:cs="Times New Roman" w:hint="eastAsia"/>
          <w:sz w:val="32"/>
          <w:szCs w:val="32"/>
        </w:rPr>
        <w:tab/>
      </w:r>
      <w:r>
        <w:rPr>
          <w:rFonts w:ascii="Times New Roman" w:eastAsia="仿宋_GB2312" w:hAnsi="Times New Roman" w:cs="Times New Roman" w:hint="eastAsia"/>
          <w:sz w:val="32"/>
          <w:szCs w:val="32"/>
        </w:rPr>
        <w:tab/>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（三）政府采购支出情况</w:t>
      </w:r>
    </w:p>
    <w:p w:rsidR="00740256" w:rsidRDefault="00F8504F">
      <w:pPr>
        <w:pStyle w:val="Default"/>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年度政府采购支出总额</w:t>
      </w:r>
      <w:r>
        <w:rPr>
          <w:rFonts w:ascii="Times New Roman" w:eastAsia="仿宋_GB2312" w:hAnsi="Times New Roman" w:cs="Times New Roman"/>
          <w:sz w:val="32"/>
          <w:szCs w:val="32"/>
        </w:rPr>
        <w:t>3.71</w:t>
      </w:r>
      <w:r>
        <w:rPr>
          <w:rFonts w:ascii="Times New Roman" w:eastAsia="仿宋_GB2312" w:hAnsi="Times New Roman" w:cs="Times New Roman"/>
          <w:sz w:val="32"/>
          <w:szCs w:val="32"/>
        </w:rPr>
        <w:t>万元，其中：政府采购货物支出</w:t>
      </w:r>
      <w:r>
        <w:rPr>
          <w:rFonts w:ascii="Times New Roman" w:eastAsia="仿宋_GB2312" w:hAnsi="Times New Roman" w:cs="Times New Roman"/>
          <w:sz w:val="32"/>
          <w:szCs w:val="32"/>
        </w:rPr>
        <w:t>3.71</w:t>
      </w:r>
      <w:r>
        <w:rPr>
          <w:rFonts w:ascii="Times New Roman" w:eastAsia="仿宋_GB2312" w:hAnsi="Times New Roman" w:cs="Times New Roman"/>
          <w:sz w:val="32"/>
          <w:szCs w:val="32"/>
        </w:rPr>
        <w:t>万元、政府采购工程支出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万元、政府采购服务支出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sz w:val="32"/>
          <w:szCs w:val="32"/>
        </w:rPr>
        <w:t>3.71</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sz w:val="32"/>
          <w:szCs w:val="32"/>
        </w:rPr>
        <w:t>3.71</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740256" w:rsidRDefault="00F8504F" w:rsidP="00002BCE">
      <w:pPr>
        <w:pStyle w:val="Default"/>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（四）国有资产占用情况</w:t>
      </w:r>
    </w:p>
    <w:p w:rsidR="00740256" w:rsidRDefault="00F8504F">
      <w:pPr>
        <w:adjustRightInd w:val="0"/>
        <w:snapToGrid w:val="0"/>
        <w:spacing w:line="600" w:lineRule="exact"/>
        <w:ind w:firstLineChars="200" w:firstLine="640"/>
        <w:rPr>
          <w:rStyle w:val="NormalCharacte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日，本单位共有车辆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辆，</w:t>
      </w:r>
      <w:r>
        <w:rPr>
          <w:rStyle w:val="NormalCharacter"/>
          <w:rFonts w:ascii="Times New Roman" w:eastAsia="仿宋_GB2312" w:hAnsi="Times New Roman" w:cs="Times New Roman"/>
          <w:color w:val="000000"/>
          <w:kern w:val="0"/>
          <w:sz w:val="32"/>
          <w:szCs w:val="32"/>
        </w:rPr>
        <w:t>其他用车</w:t>
      </w:r>
      <w:r>
        <w:rPr>
          <w:rStyle w:val="NormalCharacter"/>
          <w:rFonts w:ascii="Times New Roman" w:eastAsia="仿宋_GB2312" w:hAnsi="Times New Roman" w:cs="Times New Roman"/>
          <w:color w:val="000000"/>
          <w:kern w:val="0"/>
          <w:sz w:val="32"/>
          <w:szCs w:val="32"/>
        </w:rPr>
        <w:t>1</w:t>
      </w:r>
      <w:r>
        <w:rPr>
          <w:rStyle w:val="NormalCharacter"/>
          <w:rFonts w:ascii="Times New Roman" w:eastAsia="仿宋_GB2312" w:hAnsi="Times New Roman" w:cs="Times New Roman"/>
          <w:color w:val="000000"/>
          <w:kern w:val="0"/>
          <w:sz w:val="32"/>
          <w:szCs w:val="32"/>
        </w:rPr>
        <w:t>辆，其他用车主要用于移民产业项目验收等；单位价值</w:t>
      </w:r>
      <w:r>
        <w:rPr>
          <w:rStyle w:val="NormalCharacter"/>
          <w:rFonts w:ascii="Times New Roman" w:eastAsia="仿宋_GB2312" w:hAnsi="Times New Roman" w:cs="Times New Roman"/>
          <w:color w:val="000000"/>
          <w:kern w:val="0"/>
          <w:sz w:val="32"/>
          <w:szCs w:val="32"/>
        </w:rPr>
        <w:t>50</w:t>
      </w:r>
      <w:r>
        <w:rPr>
          <w:rStyle w:val="NormalCharacter"/>
          <w:rFonts w:ascii="Times New Roman" w:eastAsia="仿宋_GB2312" w:hAnsi="Times New Roman" w:cs="Times New Roman"/>
          <w:color w:val="000000"/>
          <w:kern w:val="0"/>
          <w:sz w:val="32"/>
          <w:szCs w:val="32"/>
        </w:rPr>
        <w:t>万元以上通用设备</w:t>
      </w:r>
      <w:r>
        <w:rPr>
          <w:rStyle w:val="NormalCharacter"/>
          <w:rFonts w:ascii="Times New Roman" w:eastAsia="仿宋_GB2312" w:hAnsi="Times New Roman" w:cs="Times New Roman"/>
          <w:color w:val="000000"/>
          <w:kern w:val="0"/>
          <w:sz w:val="32"/>
          <w:szCs w:val="32"/>
        </w:rPr>
        <w:t>0</w:t>
      </w:r>
      <w:r>
        <w:rPr>
          <w:rStyle w:val="NormalCharacter"/>
          <w:rFonts w:ascii="Times New Roman" w:eastAsia="仿宋_GB2312" w:hAnsi="Times New Roman" w:cs="Times New Roman"/>
          <w:color w:val="000000"/>
          <w:kern w:val="0"/>
          <w:sz w:val="32"/>
          <w:szCs w:val="32"/>
        </w:rPr>
        <w:t>台（套）；单位价值</w:t>
      </w:r>
      <w:r>
        <w:rPr>
          <w:rStyle w:val="NormalCharacter"/>
          <w:rFonts w:ascii="Times New Roman" w:eastAsia="仿宋_GB2312" w:hAnsi="Times New Roman" w:cs="Times New Roman"/>
          <w:color w:val="000000"/>
          <w:kern w:val="0"/>
          <w:sz w:val="32"/>
          <w:szCs w:val="32"/>
        </w:rPr>
        <w:t>100</w:t>
      </w:r>
      <w:r>
        <w:rPr>
          <w:rStyle w:val="NormalCharacter"/>
          <w:rFonts w:ascii="Times New Roman" w:eastAsia="仿宋_GB2312" w:hAnsi="Times New Roman" w:cs="Times New Roman"/>
          <w:color w:val="000000"/>
          <w:kern w:val="0"/>
          <w:sz w:val="32"/>
          <w:szCs w:val="32"/>
        </w:rPr>
        <w:t>万元以上专用设备</w:t>
      </w:r>
      <w:r>
        <w:rPr>
          <w:rStyle w:val="NormalCharacter"/>
          <w:rFonts w:ascii="Times New Roman" w:eastAsia="仿宋_GB2312" w:hAnsi="Times New Roman" w:cs="Times New Roman"/>
          <w:color w:val="000000"/>
          <w:kern w:val="0"/>
          <w:sz w:val="32"/>
          <w:szCs w:val="32"/>
        </w:rPr>
        <w:t>0</w:t>
      </w:r>
      <w:r>
        <w:rPr>
          <w:rStyle w:val="NormalCharacter"/>
          <w:rFonts w:ascii="Times New Roman" w:eastAsia="仿宋_GB2312" w:hAnsi="Times New Roman" w:cs="Times New Roman"/>
          <w:color w:val="000000"/>
          <w:kern w:val="0"/>
          <w:sz w:val="32"/>
          <w:szCs w:val="32"/>
        </w:rPr>
        <w:t>台（套）。</w:t>
      </w:r>
    </w:p>
    <w:p w:rsidR="00740256" w:rsidRDefault="00740256">
      <w:pPr>
        <w:pStyle w:val="Default"/>
        <w:ind w:firstLineChars="200" w:firstLine="640"/>
        <w:rPr>
          <w:rFonts w:ascii="Times New Roman" w:eastAsia="仿宋_GB2312" w:hAnsi="Times New Roman" w:cs="Times New Roman"/>
          <w:sz w:val="32"/>
          <w:szCs w:val="32"/>
        </w:rPr>
      </w:pPr>
    </w:p>
    <w:p w:rsidR="00740256" w:rsidRDefault="00F8504F">
      <w:pPr>
        <w:ind w:firstLineChars="200" w:firstLine="880"/>
        <w:jc w:val="center"/>
        <w:rPr>
          <w:rStyle w:val="NormalCharacter"/>
          <w:rFonts w:ascii="黑体" w:eastAsia="黑体" w:hAnsi="黑体" w:cs="黑体"/>
          <w:bCs/>
          <w:sz w:val="44"/>
          <w:szCs w:val="44"/>
        </w:rPr>
      </w:pPr>
      <w:r>
        <w:rPr>
          <w:rStyle w:val="NormalCharacter"/>
          <w:rFonts w:ascii="黑体" w:eastAsia="黑体" w:hAnsi="黑体" w:cs="黑体" w:hint="eastAsia"/>
          <w:bCs/>
          <w:sz w:val="44"/>
          <w:szCs w:val="44"/>
        </w:rPr>
        <w:t>第四部分 名词解释</w:t>
      </w:r>
    </w:p>
    <w:p w:rsidR="00740256" w:rsidRDefault="00740256">
      <w:pPr>
        <w:spacing w:line="600" w:lineRule="exact"/>
        <w:ind w:firstLineChars="200" w:firstLine="640"/>
        <w:rPr>
          <w:rFonts w:ascii="Times New Roman" w:eastAsia="仿宋_GB2312" w:hAnsi="Times New Roman"/>
          <w:color w:val="000000"/>
          <w:sz w:val="32"/>
          <w:szCs w:val="32"/>
        </w:rPr>
      </w:pPr>
    </w:p>
    <w:p w:rsidR="00740256" w:rsidRDefault="00F8504F">
      <w:pPr>
        <w:spacing w:line="600" w:lineRule="exact"/>
        <w:ind w:firstLineChars="200" w:firstLine="616"/>
        <w:rPr>
          <w:rFonts w:ascii="Times New Roman" w:eastAsia="仿宋_GB2312" w:hAnsi="Times New Roman" w:cs="Times New Roman"/>
          <w:color w:val="000000"/>
          <w:spacing w:val="-6"/>
          <w:sz w:val="32"/>
          <w:szCs w:val="32"/>
        </w:rPr>
      </w:pPr>
      <w:r>
        <w:rPr>
          <w:rFonts w:ascii="黑体" w:eastAsia="黑体" w:hAnsi="黑体" w:cs="黑体" w:hint="eastAsia"/>
          <w:color w:val="000000"/>
          <w:spacing w:val="-6"/>
          <w:sz w:val="32"/>
          <w:szCs w:val="32"/>
        </w:rPr>
        <w:t>一、一般公共预算财政拨款收入：</w:t>
      </w:r>
      <w:r>
        <w:rPr>
          <w:rFonts w:ascii="Times New Roman" w:eastAsia="仿宋_GB2312" w:hAnsi="Times New Roman" w:cs="Times New Roman"/>
          <w:color w:val="000000"/>
          <w:spacing w:val="-6"/>
          <w:sz w:val="32"/>
          <w:szCs w:val="32"/>
        </w:rPr>
        <w:t>指中央财政当年拨付的资金。</w:t>
      </w:r>
    </w:p>
    <w:p w:rsidR="00740256" w:rsidRDefault="00F8504F">
      <w:pPr>
        <w:spacing w:line="600" w:lineRule="exact"/>
        <w:ind w:firstLineChars="200" w:firstLine="640"/>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lastRenderedPageBreak/>
        <w:t>二、事业收入：</w:t>
      </w:r>
      <w:r>
        <w:rPr>
          <w:rFonts w:ascii="Times New Roman" w:eastAsia="仿宋_GB2312" w:hAnsi="Times New Roman" w:cs="Times New Roman"/>
          <w:color w:val="000000"/>
          <w:sz w:val="32"/>
          <w:szCs w:val="32"/>
        </w:rPr>
        <w:t>指事业单位开展专业业务活动及辅助活动取得的收入。</w:t>
      </w:r>
    </w:p>
    <w:p w:rsidR="00740256" w:rsidRDefault="00F8504F">
      <w:pPr>
        <w:spacing w:line="600" w:lineRule="exact"/>
        <w:ind w:firstLineChars="200" w:firstLine="640"/>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t>三、基本支出：</w:t>
      </w:r>
      <w:r>
        <w:rPr>
          <w:rFonts w:ascii="Times New Roman" w:eastAsia="仿宋_GB2312" w:hAnsi="Times New Roman" w:cs="Times New Roman"/>
          <w:color w:val="000000"/>
          <w:sz w:val="32"/>
          <w:szCs w:val="32"/>
        </w:rPr>
        <w:t>指为保障机构正常运转、完成日常工作任务而发生的人员支出和公用支出。</w:t>
      </w:r>
    </w:p>
    <w:p w:rsidR="00740256" w:rsidRDefault="00F8504F">
      <w:pPr>
        <w:spacing w:line="600" w:lineRule="exact"/>
        <w:ind w:firstLineChars="200" w:firstLine="640"/>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t>四、项目支出：</w:t>
      </w:r>
      <w:r>
        <w:rPr>
          <w:rFonts w:ascii="Times New Roman" w:eastAsia="仿宋_GB2312" w:hAnsi="Times New Roman" w:cs="Times New Roman"/>
          <w:color w:val="000000"/>
          <w:sz w:val="32"/>
          <w:szCs w:val="32"/>
        </w:rPr>
        <w:t>指在基本支出之外为完成特定行政财政部任务或事业发展目标所发生的支出。</w:t>
      </w:r>
    </w:p>
    <w:p w:rsidR="00740256" w:rsidRDefault="00F8504F">
      <w:pPr>
        <w:spacing w:line="600" w:lineRule="exact"/>
        <w:ind w:firstLineChars="200" w:firstLine="640"/>
        <w:rPr>
          <w:rFonts w:ascii="Times New Roman" w:eastAsia="仿宋_GB2312" w:hAnsi="Times New Roman" w:cs="Times New Roman"/>
          <w:color w:val="000000"/>
          <w:spacing w:val="-6"/>
          <w:sz w:val="32"/>
          <w:szCs w:val="32"/>
        </w:rPr>
      </w:pPr>
      <w:r>
        <w:rPr>
          <w:rFonts w:ascii="黑体" w:eastAsia="黑体" w:hAnsi="黑体" w:cs="黑体" w:hint="eastAsia"/>
          <w:color w:val="000000"/>
          <w:sz w:val="32"/>
          <w:szCs w:val="32"/>
        </w:rPr>
        <w:t>五、机关运行经费：</w:t>
      </w:r>
      <w:r>
        <w:rPr>
          <w:rFonts w:ascii="Times New Roman" w:eastAsia="仿宋_GB2312" w:hAnsi="Times New Roman" w:cs="Times New Roman"/>
          <w:color w:val="000000"/>
          <w:sz w:val="32"/>
          <w:szCs w:val="32"/>
        </w:rPr>
        <w:t>机关运行经费是指各部门的公用经费，包括办公及印刷费、邮电费、差旅费、会议费、福利费、日常维修费、专用资料及一般设备购置费、办公用房水电费、办公用房</w:t>
      </w:r>
      <w:r>
        <w:rPr>
          <w:rFonts w:ascii="Times New Roman" w:eastAsia="仿宋_GB2312" w:hAnsi="Times New Roman" w:cs="Times New Roman"/>
          <w:color w:val="000000"/>
          <w:spacing w:val="-6"/>
          <w:sz w:val="32"/>
          <w:szCs w:val="32"/>
        </w:rPr>
        <w:t>取暖费、办公用房物业管理费、公务用车运行维护费以及其他费用。</w:t>
      </w:r>
    </w:p>
    <w:p w:rsidR="00740256" w:rsidRDefault="00F8504F">
      <w:pPr>
        <w:spacing w:line="600" w:lineRule="exact"/>
        <w:ind w:firstLineChars="200" w:firstLine="640"/>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t>六、“三公”经费：</w:t>
      </w:r>
      <w:r>
        <w:rPr>
          <w:rFonts w:ascii="Times New Roman" w:eastAsia="仿宋_GB2312" w:hAnsi="Times New Roman" w:cs="Times New Roman"/>
          <w:color w:val="000000"/>
          <w:sz w:val="32"/>
          <w:szCs w:val="32"/>
        </w:rPr>
        <w:t>纳入省财政预算管理</w:t>
      </w:r>
      <w:r>
        <w:rPr>
          <w:rFonts w:ascii="仿宋_GB2312" w:eastAsia="仿宋_GB2312" w:hAnsi="仿宋_GB2312" w:cs="仿宋_GB2312" w:hint="eastAsia"/>
          <w:color w:val="000000"/>
          <w:sz w:val="32"/>
          <w:szCs w:val="32"/>
        </w:rPr>
        <w:t>的“三公”经</w:t>
      </w:r>
      <w:r>
        <w:rPr>
          <w:rFonts w:ascii="Times New Roman" w:eastAsia="仿宋_GB2312" w:hAnsi="Times New Roman" w:cs="Times New Roman"/>
          <w:color w:val="000000"/>
          <w:sz w:val="32"/>
          <w:szCs w:val="32"/>
        </w:rPr>
        <w:t>费，是指用一般公共预算拨款安排的公务接待费、公务用车购置及运行维护费和因公出国（境）费。其中：公务接待</w:t>
      </w:r>
      <w:proofErr w:type="gramStart"/>
      <w:r>
        <w:rPr>
          <w:rFonts w:ascii="Times New Roman" w:eastAsia="仿宋_GB2312" w:hAnsi="Times New Roman" w:cs="Times New Roman"/>
          <w:color w:val="000000"/>
          <w:sz w:val="32"/>
          <w:szCs w:val="32"/>
        </w:rPr>
        <w:t>费反映</w:t>
      </w:r>
      <w:proofErr w:type="gramEnd"/>
      <w:r>
        <w:rPr>
          <w:rFonts w:ascii="Times New Roman" w:eastAsia="仿宋_GB2312" w:hAnsi="Times New Roman" w:cs="Times New Roman"/>
          <w:color w:val="000000"/>
          <w:sz w:val="32"/>
          <w:szCs w:val="32"/>
        </w:rPr>
        <w:t>单位按规定开支的各类公务接待支出；公务用车购置及运行</w:t>
      </w:r>
      <w:proofErr w:type="gramStart"/>
      <w:r>
        <w:rPr>
          <w:rFonts w:ascii="Times New Roman" w:eastAsia="仿宋_GB2312" w:hAnsi="Times New Roman" w:cs="Times New Roman"/>
          <w:color w:val="000000"/>
          <w:sz w:val="32"/>
          <w:szCs w:val="32"/>
        </w:rPr>
        <w:t>费反映</w:t>
      </w:r>
      <w:proofErr w:type="gramEnd"/>
      <w:r>
        <w:rPr>
          <w:rFonts w:ascii="Times New Roman" w:eastAsia="仿宋_GB2312" w:hAnsi="Times New Roman" w:cs="Times New Roman"/>
          <w:color w:val="000000"/>
          <w:sz w:val="32"/>
          <w:szCs w:val="32"/>
        </w:rPr>
        <w:t>单位公务用车车辆购置支出（</w:t>
      </w:r>
      <w:proofErr w:type="gramStart"/>
      <w:r>
        <w:rPr>
          <w:rFonts w:ascii="Times New Roman" w:eastAsia="仿宋_GB2312" w:hAnsi="Times New Roman" w:cs="Times New Roman"/>
          <w:color w:val="000000"/>
          <w:sz w:val="32"/>
          <w:szCs w:val="32"/>
        </w:rPr>
        <w:t>含车辆</w:t>
      </w:r>
      <w:proofErr w:type="gramEnd"/>
      <w:r>
        <w:rPr>
          <w:rFonts w:ascii="Times New Roman" w:eastAsia="仿宋_GB2312" w:hAnsi="Times New Roman" w:cs="Times New Roman"/>
          <w:color w:val="000000"/>
          <w:sz w:val="32"/>
          <w:szCs w:val="32"/>
        </w:rPr>
        <w:t>购置税），以及燃料费、维修费、保险费等支出；因公出国（境）</w:t>
      </w:r>
      <w:proofErr w:type="gramStart"/>
      <w:r>
        <w:rPr>
          <w:rFonts w:ascii="Times New Roman" w:eastAsia="仿宋_GB2312" w:hAnsi="Times New Roman" w:cs="Times New Roman"/>
          <w:color w:val="000000"/>
          <w:sz w:val="32"/>
          <w:szCs w:val="32"/>
        </w:rPr>
        <w:t>费反映</w:t>
      </w:r>
      <w:proofErr w:type="gramEnd"/>
      <w:r>
        <w:rPr>
          <w:rFonts w:ascii="Times New Roman" w:eastAsia="仿宋_GB2312" w:hAnsi="Times New Roman" w:cs="Times New Roman"/>
          <w:color w:val="000000"/>
          <w:sz w:val="32"/>
          <w:szCs w:val="32"/>
        </w:rPr>
        <w:t>单位公务出国（境）的国际旅费、国外城市间交通费、食宿费等支出。</w:t>
      </w:r>
    </w:p>
    <w:p w:rsidR="00740256" w:rsidRDefault="00740256">
      <w:pPr>
        <w:ind w:firstLineChars="200" w:firstLine="640"/>
        <w:jc w:val="left"/>
        <w:rPr>
          <w:rStyle w:val="NormalCharacter"/>
          <w:rFonts w:ascii="Times New Roman" w:eastAsia="仿宋_GB2312" w:hAnsi="Times New Roman" w:cs="Times New Roman"/>
          <w:color w:val="000000"/>
          <w:kern w:val="0"/>
          <w:sz w:val="32"/>
          <w:szCs w:val="32"/>
        </w:rPr>
      </w:pPr>
    </w:p>
    <w:p w:rsidR="00740256" w:rsidRDefault="00740256">
      <w:pPr>
        <w:ind w:firstLineChars="200" w:firstLine="640"/>
        <w:jc w:val="left"/>
        <w:rPr>
          <w:rStyle w:val="NormalCharacter"/>
          <w:rFonts w:ascii="Times New Roman" w:eastAsia="仿宋_GB2312" w:hAnsi="Times New Roman" w:cs="Times New Roman"/>
          <w:color w:val="000000"/>
          <w:kern w:val="0"/>
          <w:sz w:val="32"/>
          <w:szCs w:val="32"/>
        </w:rPr>
      </w:pPr>
    </w:p>
    <w:p w:rsidR="00740256" w:rsidRDefault="00740256">
      <w:pPr>
        <w:ind w:firstLineChars="200" w:firstLine="640"/>
        <w:jc w:val="left"/>
        <w:rPr>
          <w:rStyle w:val="NormalCharacter"/>
          <w:rFonts w:ascii="Times New Roman" w:eastAsia="仿宋_GB2312" w:hAnsi="Times New Roman" w:cs="Times New Roman"/>
          <w:color w:val="000000"/>
          <w:kern w:val="0"/>
          <w:sz w:val="32"/>
          <w:szCs w:val="32"/>
        </w:rPr>
      </w:pPr>
    </w:p>
    <w:p w:rsidR="00740256" w:rsidRDefault="00740256">
      <w:pPr>
        <w:ind w:firstLineChars="200" w:firstLine="640"/>
        <w:jc w:val="left"/>
        <w:rPr>
          <w:rStyle w:val="NormalCharacter"/>
          <w:rFonts w:ascii="Times New Roman" w:eastAsia="仿宋_GB2312" w:hAnsi="Times New Roman" w:cs="Times New Roman"/>
          <w:color w:val="000000"/>
          <w:kern w:val="0"/>
          <w:sz w:val="32"/>
          <w:szCs w:val="32"/>
        </w:rPr>
      </w:pPr>
    </w:p>
    <w:p w:rsidR="001A20CF" w:rsidRDefault="001A20CF">
      <w:pPr>
        <w:spacing w:line="600" w:lineRule="exact"/>
        <w:ind w:firstLineChars="200" w:firstLine="880"/>
        <w:jc w:val="center"/>
        <w:rPr>
          <w:rFonts w:ascii="黑体" w:eastAsia="黑体" w:hAnsi="黑体" w:cs="黑体"/>
          <w:bCs/>
          <w:color w:val="000000"/>
          <w:sz w:val="44"/>
          <w:szCs w:val="44"/>
        </w:rPr>
      </w:pPr>
    </w:p>
    <w:p w:rsidR="00740256" w:rsidRDefault="00F8504F">
      <w:pPr>
        <w:spacing w:line="600" w:lineRule="exact"/>
        <w:ind w:firstLineChars="200" w:firstLine="880"/>
        <w:jc w:val="center"/>
        <w:rPr>
          <w:rFonts w:ascii="黑体" w:eastAsia="黑体" w:hAnsi="黑体" w:cs="黑体"/>
          <w:bCs/>
          <w:color w:val="000000"/>
          <w:sz w:val="44"/>
          <w:szCs w:val="44"/>
        </w:rPr>
      </w:pPr>
      <w:r>
        <w:rPr>
          <w:rFonts w:ascii="黑体" w:eastAsia="黑体" w:hAnsi="黑体" w:cs="黑体" w:hint="eastAsia"/>
          <w:bCs/>
          <w:color w:val="000000"/>
          <w:sz w:val="44"/>
          <w:szCs w:val="44"/>
        </w:rPr>
        <w:t>第五部分 附件</w:t>
      </w:r>
    </w:p>
    <w:p w:rsidR="00740256" w:rsidRDefault="00740256" w:rsidP="00002BCE">
      <w:pPr>
        <w:ind w:firstLineChars="200" w:firstLine="643"/>
        <w:rPr>
          <w:rStyle w:val="NormalCharacter"/>
          <w:rFonts w:ascii="仿宋" w:eastAsia="仿宋" w:hAnsi="仿宋"/>
          <w:b/>
          <w:color w:val="000000"/>
          <w:kern w:val="0"/>
          <w:sz w:val="32"/>
          <w:szCs w:val="32"/>
        </w:rPr>
      </w:pPr>
    </w:p>
    <w:p w:rsidR="00740256" w:rsidRDefault="00F8504F">
      <w:pPr>
        <w:pStyle w:val="UserStyle0"/>
        <w:spacing w:line="600"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本单位因机构改革，从一级预算单位改为州水利局下属二级预算单位，按照财政绩效部门要求</w:t>
      </w:r>
      <w:r>
        <w:rPr>
          <w:rStyle w:val="NormalCharacter"/>
          <w:rFonts w:ascii="Times New Roman" w:eastAsia="仿宋_GB2312" w:hAnsi="Times New Roman"/>
          <w:sz w:val="32"/>
          <w:szCs w:val="32"/>
        </w:rPr>
        <w:t>20</w:t>
      </w:r>
      <w:r>
        <w:rPr>
          <w:rStyle w:val="NormalCharacter"/>
          <w:rFonts w:ascii="Times New Roman" w:eastAsia="仿宋_GB2312" w:hAnsi="Times New Roman" w:hint="eastAsia"/>
          <w:sz w:val="32"/>
          <w:szCs w:val="32"/>
        </w:rPr>
        <w:t>20</w:t>
      </w:r>
      <w:r>
        <w:rPr>
          <w:rStyle w:val="NormalCharacter"/>
          <w:rFonts w:ascii="Times New Roman" w:eastAsia="仿宋_GB2312" w:hAnsi="Times New Roman"/>
          <w:sz w:val="32"/>
          <w:szCs w:val="32"/>
        </w:rPr>
        <w:t>年度单位整体绩效评价工作由州水利局统一评价，本单位不需要单独作价评，州水利局整体绩效评价公布网址：</w:t>
      </w:r>
      <w:hyperlink r:id="rId11" w:history="1">
        <w:r>
          <w:rPr>
            <w:rStyle w:val="a6"/>
            <w:rFonts w:ascii="Times New Roman" w:eastAsia="仿宋_GB2312" w:hAnsi="Times New Roman"/>
            <w:sz w:val="32"/>
            <w:szCs w:val="32"/>
          </w:rPr>
          <w:t>http://slj.xxz.gov.cn/</w:t>
        </w:r>
      </w:hyperlink>
    </w:p>
    <w:sectPr w:rsidR="00740256">
      <w:pgSz w:w="16838" w:h="11906" w:orient="landscape"/>
      <w:pgMar w:top="1417" w:right="1531" w:bottom="1417"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FAA" w:rsidRDefault="00CF2FAA">
      <w:r>
        <w:separator/>
      </w:r>
    </w:p>
  </w:endnote>
  <w:endnote w:type="continuationSeparator" w:id="0">
    <w:p w:rsidR="00CF2FAA" w:rsidRDefault="00CF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04F" w:rsidRDefault="00F8504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504F" w:rsidRDefault="00F8504F">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57682">
                            <w:rPr>
                              <w:rFonts w:ascii="Times New Roman" w:hAnsi="Times New Roman" w:cs="Times New Roman"/>
                              <w:noProof/>
                              <w:sz w:val="28"/>
                              <w:szCs w:val="28"/>
                            </w:rPr>
                            <w:t>- 27 -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8504F" w:rsidRDefault="00F8504F">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57682">
                      <w:rPr>
                        <w:rFonts w:ascii="Times New Roman" w:hAnsi="Times New Roman" w:cs="Times New Roman"/>
                        <w:noProof/>
                        <w:sz w:val="28"/>
                        <w:szCs w:val="28"/>
                      </w:rPr>
                      <w:t>- 27 -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FAA" w:rsidRDefault="00CF2FAA">
      <w:r>
        <w:separator/>
      </w:r>
    </w:p>
  </w:footnote>
  <w:footnote w:type="continuationSeparator" w:id="0">
    <w:p w:rsidR="00CF2FAA" w:rsidRDefault="00CF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2BCE"/>
    <w:rsid w:val="0002229B"/>
    <w:rsid w:val="000273BD"/>
    <w:rsid w:val="000415B7"/>
    <w:rsid w:val="00041E3F"/>
    <w:rsid w:val="00055DAA"/>
    <w:rsid w:val="00061F7B"/>
    <w:rsid w:val="000658A3"/>
    <w:rsid w:val="00065DC0"/>
    <w:rsid w:val="00074155"/>
    <w:rsid w:val="00075D80"/>
    <w:rsid w:val="00082455"/>
    <w:rsid w:val="000A3F69"/>
    <w:rsid w:val="00103957"/>
    <w:rsid w:val="001400AE"/>
    <w:rsid w:val="00152C6D"/>
    <w:rsid w:val="00162D39"/>
    <w:rsid w:val="00166080"/>
    <w:rsid w:val="001678BD"/>
    <w:rsid w:val="001A20CF"/>
    <w:rsid w:val="001A67DB"/>
    <w:rsid w:val="001B3DFC"/>
    <w:rsid w:val="001C3C29"/>
    <w:rsid w:val="001D51E5"/>
    <w:rsid w:val="001E080D"/>
    <w:rsid w:val="001E53D0"/>
    <w:rsid w:val="001F0C3B"/>
    <w:rsid w:val="00202C82"/>
    <w:rsid w:val="00214427"/>
    <w:rsid w:val="00215495"/>
    <w:rsid w:val="00226CB7"/>
    <w:rsid w:val="00233D01"/>
    <w:rsid w:val="00264552"/>
    <w:rsid w:val="00264EF9"/>
    <w:rsid w:val="00265724"/>
    <w:rsid w:val="0027426B"/>
    <w:rsid w:val="00274976"/>
    <w:rsid w:val="002B11D9"/>
    <w:rsid w:val="002E0A30"/>
    <w:rsid w:val="003130C4"/>
    <w:rsid w:val="00316C4B"/>
    <w:rsid w:val="0032192B"/>
    <w:rsid w:val="00327A2F"/>
    <w:rsid w:val="003479BD"/>
    <w:rsid w:val="00366D4F"/>
    <w:rsid w:val="0037197D"/>
    <w:rsid w:val="003768D5"/>
    <w:rsid w:val="003A44BF"/>
    <w:rsid w:val="003C47E6"/>
    <w:rsid w:val="003C4FC2"/>
    <w:rsid w:val="003C558F"/>
    <w:rsid w:val="00416E61"/>
    <w:rsid w:val="0042790C"/>
    <w:rsid w:val="004506F9"/>
    <w:rsid w:val="004717A2"/>
    <w:rsid w:val="00473DF3"/>
    <w:rsid w:val="00487308"/>
    <w:rsid w:val="00487911"/>
    <w:rsid w:val="00491741"/>
    <w:rsid w:val="00500E5F"/>
    <w:rsid w:val="005122EF"/>
    <w:rsid w:val="0051441A"/>
    <w:rsid w:val="00517C33"/>
    <w:rsid w:val="00523644"/>
    <w:rsid w:val="00531289"/>
    <w:rsid w:val="0053248A"/>
    <w:rsid w:val="0054069E"/>
    <w:rsid w:val="005440A1"/>
    <w:rsid w:val="00544866"/>
    <w:rsid w:val="0054543D"/>
    <w:rsid w:val="0055153E"/>
    <w:rsid w:val="0057326A"/>
    <w:rsid w:val="005767CC"/>
    <w:rsid w:val="00590D9F"/>
    <w:rsid w:val="00595D26"/>
    <w:rsid w:val="005A74E6"/>
    <w:rsid w:val="005B404E"/>
    <w:rsid w:val="005D4D55"/>
    <w:rsid w:val="005E2CFB"/>
    <w:rsid w:val="005F3D1C"/>
    <w:rsid w:val="0062378F"/>
    <w:rsid w:val="00641842"/>
    <w:rsid w:val="00651EEC"/>
    <w:rsid w:val="00665C14"/>
    <w:rsid w:val="00691E8C"/>
    <w:rsid w:val="006A22C4"/>
    <w:rsid w:val="006A351B"/>
    <w:rsid w:val="006B0422"/>
    <w:rsid w:val="006C1B53"/>
    <w:rsid w:val="006D7730"/>
    <w:rsid w:val="006E5284"/>
    <w:rsid w:val="006F16BA"/>
    <w:rsid w:val="006F3EB5"/>
    <w:rsid w:val="00702E34"/>
    <w:rsid w:val="00704395"/>
    <w:rsid w:val="00717621"/>
    <w:rsid w:val="00720FF1"/>
    <w:rsid w:val="00727A53"/>
    <w:rsid w:val="00740256"/>
    <w:rsid w:val="007436D6"/>
    <w:rsid w:val="007717EC"/>
    <w:rsid w:val="00787B42"/>
    <w:rsid w:val="007C4539"/>
    <w:rsid w:val="007F03D0"/>
    <w:rsid w:val="007F3657"/>
    <w:rsid w:val="00812ED5"/>
    <w:rsid w:val="008277D9"/>
    <w:rsid w:val="0084478C"/>
    <w:rsid w:val="0086638C"/>
    <w:rsid w:val="0089033E"/>
    <w:rsid w:val="008979EE"/>
    <w:rsid w:val="008A3E8D"/>
    <w:rsid w:val="009237C4"/>
    <w:rsid w:val="00944C48"/>
    <w:rsid w:val="00950252"/>
    <w:rsid w:val="00967F5D"/>
    <w:rsid w:val="009A0F95"/>
    <w:rsid w:val="009B3ADF"/>
    <w:rsid w:val="009C3B52"/>
    <w:rsid w:val="009E6817"/>
    <w:rsid w:val="009E6E9A"/>
    <w:rsid w:val="00A01D2B"/>
    <w:rsid w:val="00A237F9"/>
    <w:rsid w:val="00A42218"/>
    <w:rsid w:val="00A538B6"/>
    <w:rsid w:val="00A57682"/>
    <w:rsid w:val="00A676EB"/>
    <w:rsid w:val="00A70249"/>
    <w:rsid w:val="00A70B02"/>
    <w:rsid w:val="00A71D9F"/>
    <w:rsid w:val="00A92E9F"/>
    <w:rsid w:val="00AB3209"/>
    <w:rsid w:val="00B141AC"/>
    <w:rsid w:val="00B33BEA"/>
    <w:rsid w:val="00B57C9F"/>
    <w:rsid w:val="00B63572"/>
    <w:rsid w:val="00B845B3"/>
    <w:rsid w:val="00B85D8B"/>
    <w:rsid w:val="00BB4A40"/>
    <w:rsid w:val="00BC0090"/>
    <w:rsid w:val="00BD6C3E"/>
    <w:rsid w:val="00BE3674"/>
    <w:rsid w:val="00C10681"/>
    <w:rsid w:val="00C3049A"/>
    <w:rsid w:val="00C31B1E"/>
    <w:rsid w:val="00C77645"/>
    <w:rsid w:val="00CE04C3"/>
    <w:rsid w:val="00CE08BA"/>
    <w:rsid w:val="00CE76A0"/>
    <w:rsid w:val="00CF2FAA"/>
    <w:rsid w:val="00D148C6"/>
    <w:rsid w:val="00D17A8A"/>
    <w:rsid w:val="00D415BA"/>
    <w:rsid w:val="00D51887"/>
    <w:rsid w:val="00D644EE"/>
    <w:rsid w:val="00DB74B6"/>
    <w:rsid w:val="00DD06FF"/>
    <w:rsid w:val="00DD5FE9"/>
    <w:rsid w:val="00DF293D"/>
    <w:rsid w:val="00E00C7A"/>
    <w:rsid w:val="00E37D6C"/>
    <w:rsid w:val="00E40C17"/>
    <w:rsid w:val="00E46462"/>
    <w:rsid w:val="00E47B1A"/>
    <w:rsid w:val="00E54D6F"/>
    <w:rsid w:val="00E55B68"/>
    <w:rsid w:val="00E67BE6"/>
    <w:rsid w:val="00E83766"/>
    <w:rsid w:val="00E8683C"/>
    <w:rsid w:val="00E96428"/>
    <w:rsid w:val="00EA2B72"/>
    <w:rsid w:val="00EC4987"/>
    <w:rsid w:val="00EE14F3"/>
    <w:rsid w:val="00EE629E"/>
    <w:rsid w:val="00F40C0D"/>
    <w:rsid w:val="00F46C22"/>
    <w:rsid w:val="00F47B4B"/>
    <w:rsid w:val="00F74360"/>
    <w:rsid w:val="00F8504F"/>
    <w:rsid w:val="00FB161C"/>
    <w:rsid w:val="00FB462F"/>
    <w:rsid w:val="00FB5A42"/>
    <w:rsid w:val="00FB74A6"/>
    <w:rsid w:val="00FE16FA"/>
    <w:rsid w:val="00FE328A"/>
    <w:rsid w:val="00FE3AB4"/>
    <w:rsid w:val="00FE6269"/>
    <w:rsid w:val="00FF7434"/>
    <w:rsid w:val="08D4046D"/>
    <w:rsid w:val="0E225947"/>
    <w:rsid w:val="0F160189"/>
    <w:rsid w:val="1B9C2EFA"/>
    <w:rsid w:val="2F7A0132"/>
    <w:rsid w:val="38130EAA"/>
    <w:rsid w:val="43340846"/>
    <w:rsid w:val="4CA2796D"/>
    <w:rsid w:val="4EEB5A0E"/>
    <w:rsid w:val="50155F99"/>
    <w:rsid w:val="50F11007"/>
    <w:rsid w:val="54723614"/>
    <w:rsid w:val="573811C9"/>
    <w:rsid w:val="58494F71"/>
    <w:rsid w:val="5B607F70"/>
    <w:rsid w:val="5C4208CA"/>
    <w:rsid w:val="63B1089F"/>
    <w:rsid w:val="646D0E3C"/>
    <w:rsid w:val="64D929D0"/>
    <w:rsid w:val="68B40E4E"/>
    <w:rsid w:val="6CE878FD"/>
    <w:rsid w:val="6F14725D"/>
    <w:rsid w:val="6F2D47DB"/>
    <w:rsid w:val="7297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uiPriority w:val="99"/>
    <w:qFormat/>
  </w:style>
  <w:style w:type="paragraph" w:customStyle="1" w:styleId="UserStyle0">
    <w:name w:val="UserStyle_0"/>
    <w:uiPriority w:val="99"/>
    <w:qFormat/>
    <w:pPr>
      <w:textAlignment w:val="baseline"/>
    </w:pPr>
    <w:rPr>
      <w:rFonts w:ascii="黑体" w:eastAsia="黑体" w:hAnsi="宋体" w:cs="Times New Roman"/>
      <w:color w:val="000000"/>
      <w:sz w:val="24"/>
      <w:szCs w:val="24"/>
    </w:rPr>
  </w:style>
  <w:style w:type="paragraph" w:customStyle="1" w:styleId="UserStyle1">
    <w:name w:val="UserStyle_1"/>
    <w:basedOn w:val="a"/>
    <w:uiPriority w:val="99"/>
    <w:qFormat/>
    <w:pPr>
      <w:widowControl/>
      <w:ind w:firstLineChars="200" w:firstLine="200"/>
      <w:textAlignment w:val="baseline"/>
    </w:pPr>
    <w:rPr>
      <w:rFonts w:ascii="Calibri" w:eastAsia="宋体" w:hAnsi="Calibri" w:cs="Times New Roman"/>
    </w:rPr>
  </w:style>
  <w:style w:type="table" w:customStyle="1" w:styleId="TableNormal">
    <w:name w:val="TableNormal"/>
    <w:uiPriority w:val="99"/>
    <w:rPr>
      <w:rFonts w:ascii="Times New Roman" w:eastAsia="宋体" w:hAnsi="Times New Roman" w:cs="Times New Roman"/>
    </w:rPr>
    <w:tblPr>
      <w:tblCellMar>
        <w:top w:w="0" w:type="dxa"/>
        <w:left w:w="0" w:type="dxa"/>
        <w:bottom w:w="0" w:type="dxa"/>
        <w:right w:w="0" w:type="dxa"/>
      </w:tblCellMar>
    </w:tblPr>
  </w:style>
  <w:style w:type="character" w:customStyle="1" w:styleId="1">
    <w:name w:val="不明显参考1"/>
    <w:basedOn w:val="a0"/>
    <w:uiPriority w:val="31"/>
    <w:qFormat/>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NormalCharacter">
    <w:name w:val="NormalCharacter"/>
    <w:uiPriority w:val="99"/>
    <w:qFormat/>
  </w:style>
  <w:style w:type="paragraph" w:customStyle="1" w:styleId="UserStyle0">
    <w:name w:val="UserStyle_0"/>
    <w:uiPriority w:val="99"/>
    <w:qFormat/>
    <w:pPr>
      <w:textAlignment w:val="baseline"/>
    </w:pPr>
    <w:rPr>
      <w:rFonts w:ascii="黑体" w:eastAsia="黑体" w:hAnsi="宋体" w:cs="Times New Roman"/>
      <w:color w:val="000000"/>
      <w:sz w:val="24"/>
      <w:szCs w:val="24"/>
    </w:rPr>
  </w:style>
  <w:style w:type="paragraph" w:customStyle="1" w:styleId="UserStyle1">
    <w:name w:val="UserStyle_1"/>
    <w:basedOn w:val="a"/>
    <w:uiPriority w:val="99"/>
    <w:qFormat/>
    <w:pPr>
      <w:widowControl/>
      <w:ind w:firstLineChars="200" w:firstLine="200"/>
      <w:textAlignment w:val="baseline"/>
    </w:pPr>
    <w:rPr>
      <w:rFonts w:ascii="Calibri" w:eastAsia="宋体" w:hAnsi="Calibri" w:cs="Times New Roman"/>
    </w:rPr>
  </w:style>
  <w:style w:type="table" w:customStyle="1" w:styleId="TableNormal">
    <w:name w:val="TableNormal"/>
    <w:uiPriority w:val="99"/>
    <w:rPr>
      <w:rFonts w:ascii="Times New Roman" w:eastAsia="宋体" w:hAnsi="Times New Roman" w:cs="Times New Roman"/>
    </w:rPr>
    <w:tblPr>
      <w:tblCellMar>
        <w:top w:w="0" w:type="dxa"/>
        <w:left w:w="0" w:type="dxa"/>
        <w:bottom w:w="0" w:type="dxa"/>
        <w:right w:w="0" w:type="dxa"/>
      </w:tblCellMar>
    </w:tblPr>
  </w:style>
  <w:style w:type="character" w:customStyle="1" w:styleId="1">
    <w:name w:val="不明显参考1"/>
    <w:basedOn w:val="a0"/>
    <w:uiPriority w:val="31"/>
    <w:qFormat/>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j.xxz.gov.cn/" TargetMode="External"/><Relationship Id="rId5" Type="http://schemas.openxmlformats.org/officeDocument/2006/relationships/settings" Target="settings.xml"/><Relationship Id="rId10" Type="http://schemas.openxmlformats.org/officeDocument/2006/relationships/hyperlink" Target="http://slj.xxz.gov.c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6553F-27B8-48B7-94F9-D666ACC4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29</Pages>
  <Words>2341</Words>
  <Characters>13348</Characters>
  <Application>Microsoft Office Word</Application>
  <DocSecurity>0</DocSecurity>
  <Lines>111</Lines>
  <Paragraphs>31</Paragraphs>
  <ScaleCrop>false</ScaleCrop>
  <Company>Microsoft</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王金艳</cp:lastModifiedBy>
  <cp:revision>96</cp:revision>
  <cp:lastPrinted>2021-07-28T00:12:00Z</cp:lastPrinted>
  <dcterms:created xsi:type="dcterms:W3CDTF">2020-07-02T02:32:00Z</dcterms:created>
  <dcterms:modified xsi:type="dcterms:W3CDTF">2021-09-16T01:27:00Z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70EB668F4D074B5FAA2AC029F714551B</vt:lpwstr>
  </property>
</Properties>
</file>